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CDP.2022.19 vom 7. Juli 2022</w:t>
      </w:r>
    </w:p>
    <w:p>
      <w:r>
        <w:t>NE Tribunal cantonal, 2022-07-07, FR</w:t>
      </w:r>
    </w:p>
    <w:p>
      <w:r>
        <w:rPr>
          <w:b/>
        </w:rPr>
        <w:t xml:space="preserve">Quelle: </w:t>
      </w:r>
      <w:r>
        <w:t>https://mcp.opencaselaw.ch/entscheid/ne_gerichte_CDP.2022.19</w:t>
      </w:r>
    </w:p>
    <w:p>
      <w:r>
        <w:t>FR: NE_GERICHTE CDP.2022.19 du 7 juillet 2022</w:t>
      </w:r>
    </w:p>
    <w:p>
      <w:r>
        <w:t>IT: NE_GERICHTE CDP.2022.19 del 7 luglio 2022</w:t>
      </w:r>
    </w:p>
    <w:p>
      <w:pPr>
        <w:pStyle w:val="Heading2"/>
      </w:pPr>
      <w:r>
        <w:t>Erwägungen</w:t>
      </w:r>
    </w:p>
    <w:p>
      <w:r>
        <w:rPr>
          <w:b/>
        </w:rPr>
        <w:t>E. 1</w:t>
      </w:r>
    </w:p>
    <w:p>
      <w:r>
        <w:t>Interjeté dans les formes et délai légaux, le recours est recevable.</w:t>
      </w:r>
    </w:p>
    <w:p>
      <w:r>
        <w:rPr>
          <w:b/>
        </w:rPr>
        <w:t>E. 2</w:t>
      </w:r>
    </w:p>
    <w:p>
      <w:r>
        <w:t>La question de savoir si la CCNC a violé le droit d’être entendu de la recourante - qui englobe tous les droits qui doivent être attribués à une partie pour qu'elle puisse faire valoir efficacement son point de vue dans une procédure ( ATF 132 II 485 cons. 3.2), en particulier celui de produire des preuves ou d'obtenir qu'il soit donné suite à ses offres de preuves ( ATF 135 II 286 cons. 5.1) – peut demeurer ouverte, la décision devant quoi qu'il en soit être annulée pour les motifs qui suivent .</w:t>
      </w:r>
    </w:p>
    <w:p>
      <w:r>
        <w:rPr>
          <w:b/>
        </w:rPr>
        <w:t>E. 3</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1er janvier 2021, suite à la réforme des PC,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 le montant du dessaisissement en cas d’aliénation correspond à la différence entre la valeur de la prestation et la valeur de la contre-prestation.</w:t>
      </w:r>
    </w:p>
    <w:p>
      <w:r>
        <w:rPr>
          <w:b/>
        </w:rPr>
        <w:t>E. 4</w:t>
      </w:r>
    </w:p>
    <w:p>
      <w:r>
        <w:t>En l’espèce, pour déterminer la valeur vénale des biens-fonds [111] et [222] du cadastre de Z.________ que la recourante et sa fille ont vendus, par acte notarié du 27 mai 2021, au prix de 160'000 francs, la CCNC a fait application des DPC, selon lesquelles "s 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(ch. 3444.04). Elle a ainsi retenu, à titre de valeur vénale, le montant de 371'630 francs correspondant à la moyenne entre l’estimation cadastrale des biens-fonds nos [111] (CHF 260'000) et [222] (CHF 3'000), de 263'000 francs au total (valeur 2015), et le montant de l’assurance immobilière de l’habitation sise sur l’article [111], de 480'260 francs et, par voie de conséquence d’un dessaisissement de fortune de 211'630 francs (CHF 371'630 – CHF 160'000). Si cette méthode n’a pas été qualifiée d’inadmissible lorsque la Cour de céans a chargé la CCNC de mettre en place une pratique uniforme pour déterminer la valeur vénale d’un immeuble (arrêt du 24.01.2014 [2011.225] cons. 6 et les références citées), il ne peut quoi qu’il en soit pas, en cas de vente de l’immeuble en cause, être fait abstraction du prix de vente effectif, ce d’autant plus lorsque la vente est intervenue dans le cadre d’une transaction normale (arrêt du Tribunal administratif [auquel a succédé la Cour de droit public] du 31.05.2006 [2006.110] cons. 3b in fine). Or, dans le cas présent, à aucun moment l’intimée n’a procédé à un examen des circonstances ayant entouré la vente des articles [111] et [222] du cadastre de Z.________ ni motivé les raisons qui l’ont conduite à considérer, implicitement, que la recourante (et sa fille) auraient aliéné leurs immeubles sans contre-prestations adéquates. A cet égard, on relève que le curateur ad hoc a été autorisé par l’APEA à accepter la vente de ces immeubles pour le prix de 160'000 francs et aux conditions mentionnées dans le projet d’acte notarié et, en conséquence, à signer ledit acte au nom de sa pupille (décision de l’APEA du 07.05.2021). Il n’est par ailleurs pas prétendu que les venderesses auraient un lien de parenté avec l’acquéresse, ni qu’elles auraient eu une volonté de libéralité vis-à-vis de celle-ci. Le prix conventionnellement fixé à 160'000 francs, dont il est expressément reconnu qu’il est inférieur aux valeurs fiscales et ECAP, a été justifié par "l’état délabré actuel du bâtiment, qui doit être complètement réhabilité et rénové. Les parties se fondent sur l’évaluation du 6 avril 2020 de E.________, restaurateur de maisons anciennes, qui a estimé la valeur actuelle de la maison à CHF 150'000 et estimé les coûts de réhabilitation et de rénovation à CHF 426'000, TVA non comprise" (acte notarié du 27.05.2021, p. 17 ch. 3). Dans son évaluation, le prénommé a relevé notamment l’état général délabré de la maison (toit, ferblanterie, façades, volets, portes), l’état de vétusté avancé des appartements (sol, plâtres, peinture, électricité, salles de bain et WC), l’absence de chauffage central (existence de fourneaux à bois) ou encore l’absence de cuisines. Outre qu’il n’y a, a priori , aucune raison de douter de l’exactitude de cette description, la CCNC ne pouvait, en tout état de cause, pas s’écarter du prix de vente effectif sans avoir au moins fait procéder à une estimation de la valeur vénale par le biais d’une expertise mise en œuvre par les services fiscaux (arrêt de la CDP du 03.12.2018 [2018.190] cons. 4b). Elle pouvait d’autant moins s’affranchir de cette instruction que l’application dans le cas d’espèce de la méthode consistant à faire intervenir dans la détermination de la valeur vénale la valeur de l’assurance immobilière (CHF 480'260) d’un bâtiment ancien – la maison en question date de la fin du XVIIIème siècle (rapport E.________) – soit sa valeur de reconstruction à neuf, a été considérée comme problématique par la jurisprudence (arrêt du TA du 27.09.2007 [2007.72]; RJN 1994, p. 208, cons. 4b). Il convient par conséquent d’annuler la décision attaquée et de renvoyer la cause à l’intimée qui, si elle nourrit objectivement des doutes sur le fait que le prix de vente consenti corresponde à la valeur vénale réelle des immeubles en cause fera procéder à leur estimation par un service officiel, avant de statuer à nouveau sur le droit de la recourante à des prestations complémentaires.</w:t>
      </w:r>
    </w:p>
    <w:p>
      <w:r>
        <w:rPr>
          <w:b/>
        </w:rPr>
        <w:t>E. 5</w:t>
      </w:r>
    </w:p>
    <w:p>
      <w:r>
        <w:t>Il est statué sans frais, la loi spéciale ne prévoyant pas la perception de frais judiciaires (art. 61 let. fbis LPGA). La recourante qui obtient gain de cause a droit à l'allocation de dépens, dont le montant est déterminé sans égard à la valeur litigieuse d'après l'importance et la complexité du litige (art. 61 let. g LPGA). Son mandataire n'ayant pas déposé d'état de ses honoraires et frais (art. 64 al. 1 LTFrais par renvoi de l’art. 67 LTFrais ), la Cour de céans fixera en conséquence les dépens sur la base du dossier (art. 64 al. 2 LTFrais par renvoi de l’art. 67 LTFrais ). Dans ce cadre, l'activité déployée par Me D.________ peut être évaluée à environ 8 heures. Eu égard au tarif horaire usuellement appliqué par la Cour de céans, de l'ordre de 280 francs de l'heure (CHF 2’240), des débours à raison de 10 % des honoraires (CHF 224; art. 63 LTFrais par renvoi de l’art. 67 LTFrais ) et de la TVA au taux de 7,7 % (CHF 189.70), l'indemnité de dépens sera fixée au montant de 2'653.70 francs, tout compris. L’allocation de dépens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