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CDP.2021.152 vom 21. September 2021</w:t>
      </w:r>
    </w:p>
    <w:p>
      <w:r>
        <w:t>NE Tribunal cantonal, 2021-09-21, FR</w:t>
      </w:r>
    </w:p>
    <w:p>
      <w:r>
        <w:rPr>
          <w:b/>
        </w:rPr>
        <w:t xml:space="preserve">Quelle: </w:t>
      </w:r>
      <w:r>
        <w:t>https://mcp.opencaselaw.ch/entscheid/ne_gerichte_CDP.2021.152</w:t>
      </w:r>
    </w:p>
    <w:p>
      <w:r>
        <w:t>FR: NE_GERICHTE CDP.2021.152 du 21 septembre 2021</w:t>
      </w:r>
    </w:p>
    <w:p>
      <w:r>
        <w:t>IT: NE_GERICHTE CDP.2021.152 del 21 settembre 2021</w:t>
      </w:r>
    </w:p>
    <w:p>
      <w:pPr>
        <w:pStyle w:val="Heading2"/>
      </w:pPr>
      <w:r>
        <w:t>Erwägungen</w:t>
      </w:r>
    </w:p>
    <w:p>
      <w:r>
        <w:rPr>
          <w:b/>
        </w:rPr>
        <w:t>E. 1</w:t>
      </w:r>
    </w:p>
    <w:p>
      <w:r>
        <w:t>Interjeté dans les formes et délai légaux, le recours est recevable.</w:t>
      </w:r>
    </w:p>
    <w:p>
      <w:r>
        <w:rPr>
          <w:b/>
        </w:rPr>
        <w:t>E. 2</w:t>
      </w:r>
    </w:p>
    <w:p>
      <w:r>
        <w:t>a) L'article 25 al. 1 LP GA, aux termes duquel les prestations indûment touchées doivent être restituées, est issu de la réglementation et de la jurisprudence antérieure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 Une décision est sans nul doute erronée lorsqu'il n'existe aucun doute raisonnable sur le fait qu'elle était erronée, la seule conclusion possible étant que tel est le cas ( ATF 125 V 383 ; arrêt du TF du 07.11.2006 [C 269/05] cons. 3 ; Kieser , ATSG-Kommentar, n. 20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 ATF 126 V 399 ; arrêt du TF du 07.11.2006 [C 269/05] cons. 5,).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Par définition, un fait nouveau permettant la révision procédurale d’une décision entrée en force doit exister au moment où cette décision a été rendue, mais est découvert après coup (arrêt du TF du 06.08.2014 [9C_328/2014] cons. 6.1). L’obligation de restituer des prestations complémentaires indûment touchées et son étendue dans le temps ne sont pas liées à une violation de l’obligation de renseigner (arrêt du TF du 04.09.2008 [8C_120/2008] cons. 3.1). Il s’agit simplement de rétablir l’ordre légal, après la découverte du fait nouveau. Par ailleurs, la restitution des prestations indûment touchées doit être exigée quel que soit le motif qui a donné lieu à leur versement et même si leur octroi résulte en partie d’une éventuelle faute de l’autorité (arrêt du TF du 10.07.2006 [P 39/05] cons. 5.3). b) Le droit de demander la restitution s'éteint un an après le moment où l'institution d'assurance a eu connaissance du fait fondant l’obligation de restituer, mais au plus tard cinq ans après le versement de la prestation (art. 25 al. 2 1 re phrase LPGA ). Il s'agit de délais (relatif et absolu) de péremption qui doivent être examinés d'office (arrêts du TF du 11.03.2019 [8C_799/2017, 8C_814/2017] cons. 5.1 et du 05.11.2013 [2C_180/2013] cons. 5.2 et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 ATF 140 V 521 précité cons. 2.1, 139 V 6 cons. 4.1). L'administration doit disposer de tous les éléments qui sont décisifs dans le cas concret et dont la connaissance fonde – quant à son principe et à son étendue – la créance en restitution à l'encontre de la personne tenue à restitution ( ATF 140 V 521 déjà cité cons. 2.1,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18.03.2013 [9C_454/2012] cons. 4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 1; arrêts du TF du 05.07.2017 [8C_689/2016] cons. 5.1 et du 18.11.2013 [8C_968/2012] cons. 2.2).</w:t>
      </w:r>
    </w:p>
    <w:p>
      <w:r>
        <w:rPr>
          <w:b/>
        </w:rPr>
        <w:t>E. 3</w:t>
      </w:r>
    </w:p>
    <w:p>
      <w:r>
        <w:t>Selon l’article 43 al. 1 LPGA , l’assureur examine les demandes, prend d’office les mesures d’instruction nécessaires et recueille les renseignements dont il a besoin.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(arrêt du TF du 06.07.2007 [U 316/06] cons. 3.1.1). Le devoir d’instruction s’étend jusqu’à ce que les faits nécessaires à l’examen des prétentions en cause soient suffisamment élucidés (arrêts du TF du 12.06.2013 [8C_667/2012] cons. 4.1 et du 19.11.2007 [8C_364/2007] cons. 3.2).</w:t>
      </w:r>
    </w:p>
    <w:p>
      <w:r>
        <w:rPr>
          <w:b/>
        </w:rPr>
        <w:t>E. 4</w:t>
      </w:r>
    </w:p>
    <w:p>
      <w:r>
        <w:t>Le litige porte sur le point de savoir si les recourants ont l'obligation de restituer les allocations familiales qui ont été allouées à A.X.________ du 1 er janvier au 31 décembre 2019. a) Les allocations familiales comprennent l'allocation de formation professionnelle qui est octroyée à partir du mois qui suit celui au cours duquel l'enfant atteint l'âge de 16 ans jusqu'à la fin de sa formation, mais au plus tard jusqu'à la fin du mois au cours duquel il atteint l'âge de 25 ans (art. 3 al. 1 let. b de la loi fédérale sur les allocations familiales [LAFam]). Un droit à cette allocation existe pour les enfants accomplissant une formation au sens de l'article 25 al. 5 de la loi fédérale sur l'assurance-vieillesse et survivants (LAVS) (art. 1 al. 1 de l'Ordonnance sur les allocations familiales [OARam]). Selon l'article 49 bis al. 1 RAVS ,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La formation est considérée comme terminée lorsqu'elle est abandonnée ou interrompue (art. 49 ter al. 2 RAVS ). N'est pas assimilé à une interruption en ce sens, pour autant que la formation se poursuive immédiatement après, le service civil d'une durée maximale de 5 mois (art. 49 ter al. 3 let. b RAVS ). C'est à tort que la CCNC examine dans sa décision sur opposition si, durant la période du 26 août au 29 décembre 2019, C.X.________ a consacré 20 heures au moins par semaine à sa formation selon la directive précitée (ch. 3359). En effet, outre le fait qu'il est matériellement impossible de réaliser 20 heures par semaine pendant l'accomplissement du service civil, poser une telle exigence revient à vider de sa substance la règle de l'article 49 ter al. 3 let. b RAVS . Il convient bien plutôt de déterminer s'il y a lieu d'additionner les périodes du service civil (08.12.2018 – 29.12.2019) ou s'il y a lieu de distinguer les deux périodes, la première étant supérieure à 5 mois et la seconde inférieure à cette durée. Le dossier ne permet pas à la Cour de céans de statuer sur cette question, étant donné que l'on ignore les motifs de l'interruption du service civil durant environ 2 mois et comment le fils des recourants a occupé cette période. Il y a dès lors lieu de renvoyer la cause à la CCNC pour instruction complémentaire sur ce point.</w:t>
      </w:r>
    </w:p>
    <w:p>
      <w:r>
        <w:rPr>
          <w:b/>
        </w:rPr>
        <w:t>E. 5</w:t>
      </w:r>
    </w:p>
    <w:p>
      <w:r>
        <w:t>a) Aux termes de l'article 27 al. 1 LPGA , les assureurs et les organes d'exécution des diverses assurances sociales sont tenus, dans les limites de leur domaine de compétences,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Le devoir de conseil de l'assureur social au sens de l'article 27 al. 2 LPGA comprend l'obligation d'attirer l'attention de la personne intéressée sur le fait que son comportement pourrait mettre en péril la réalisation de l'une des conditions du droit aux prestations (ATF 131 V 472 cons.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b) Les recourants se prévalent de leur bonne foi, une collaboratrice de la CCNC, soit E.________, leur ayant communiqué lors d'un entretien téléphonique que tant que C.X.________ ne gagnait pas plus de 2'370 francs par mois, le droit aux allocations familiales perdurait. Le dossier ne contient aucune instruction y relative et la CCNC ne se prononce pas sur cet élément. Il lui incombera également de procéder à une instruction afin de déterminer si ce fait est avéré (par exemple notes d'entretiens téléphoniques au dossier, audition de E.________, etc.), puis de déterminer si les conditions pour la protection de la bonne foi sont en l'occurrence réalisées.</w:t>
      </w:r>
    </w:p>
    <w:p>
      <w:r>
        <w:rPr>
          <w:b/>
        </w:rPr>
        <w:t>E. 6</w:t>
      </w:r>
    </w:p>
    <w:p>
      <w:r>
        <w:t>avril 2021 a dès lors été rendue dans le délai d'une année après connaissance du fait fondant l'obligation de restituer.</w:t>
      </w:r>
    </w:p>
    <w:p>
      <w:r>
        <w:rPr>
          <w:b/>
        </w:rPr>
        <w:t>E. 7</w:t>
      </w:r>
    </w:p>
    <w:p>
      <w:r>
        <w:t>Vu ce qui précède, le recours doit être admis et la décision sur opposition de la CCNC du 23 avril 2021 annulée, la cause lui étant renvoyée pour instruction complémentaire au sens des considérants. Il n'y a pas lieu de percevoir de frais judiciaires, la loi spéciale ne le prévoyant pas (art. 61 let. f bis LPGA), ni d'allouer des dépens dès lors que les recourants ne sont pas représentés par un mandataire professionnel et ne font pas état de frais particuliers (art. 61 let. g a contrario LPGA).</w:t>
      </w:r>
    </w:p>
    <w:p>
      <w:r>
        <w:rPr>
          <w:b/>
        </w:rPr>
        <w:t>E. 20</w:t>
      </w:r>
    </w:p>
    <w:p>
      <w:r>
        <w:t>heures par semaine pendant l'accomplissement du service civil, poser une telle exigence revient à vider de sa substance la règle de l'article49teral. 3 let. b RAVS. Il convient bien plutôt de déterminer s'il y a lieu d'additionner les périodes du service civil (08.12.2018  29.12.2019) ou s'il y a lieu de distinguer les deux périodes, la première étant supérieure à 5 mois et la seconde inférieure à cette durée. Le dossier ne permet pas à la Cour de céans de statuer sur cette question, étant donné que l'on ignore les motifs de l'interruption du service civil durant environ 2 mois et comment le fils des recourants a occupé cette période. Il y a dès lors lieu de renvoyer la cause à la CCNC pour instruction complémentaire sur ce point.</w:t>
      </w:r>
    </w:p>
    <w:p>
      <w:r>
        <w:t>5.a) Aux termes de l'article27 al. 1 LPGA, les assureurs et les organes d'exécution des diverses assurances sociales sont tenus, dans les limites de leur domaine de compétences, de renseigner les personnes intéressées sur leurs droits et obligations. L'article27 al. 2 LPGAprévoit par ailleurs le droit pour chacun d'être conseillé, en principe gratuitement, sur ses droits et obligations. Sont compétents pour cela les assureurs à l'égard desquels les intéressés doivent faire valoir leurs droits ou remplir leurs obligations. Le devoir de conseil de l'assureur social au sens de l'article27 al. 2 LPGAcomprend l'obligation d'attirer l'attention de la personne intéressée sur le fait que son comportement pourrait mettre en péril la réalisation de l'une des conditions du droit aux prestations (ATF131 V 472cons.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w:t>
      </w:r>
    </w:p>
    <w:p>
      <w:r>
        <w:t>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w:t>
      </w:r>
    </w:p>
    <w:p>
      <w:r>
        <w:t>b) Les recourants se prévalent de leur bonne foi, une collaboratrice de la CCNC, soit E.________, leur ayant communiqué lors d'un entretien téléphonique que tant que C.X.________ ne gagnait pas plus de 2'370 francs par mois, le droit aux allocations familiales perdurait. Le dossier ne contient aucune instruction y relative et la CCNC ne se prononce pas sur cet élément. Il lui incombera également de procéder à une instruction afin de déterminer si ce fait est avéré (par exemple notes d'entretiens téléphoniques au dossier, audition de E.________, etc.), puis de déterminer si les conditions pour la protection de la bonne foi sont en l'occurrence réalisées.</w:t>
      </w:r>
    </w:p>
    <w:p>
      <w:r>
        <w:t>6.Au cas où la CCNC arrivait à la conclusion que la totalité ou une partie des allocations familiales doit être restituée, il convient de préciser, les recourants invoquant implicitement la péremption de la créance en restitution, qu'on ne saurait considérer que le délai commence à courir au moment où les allocations familiales ont été versées à tort. L'indication d'un service civil dans le préavis d'échéance du 31 décembre 2018 n'impliquait pas pour la caisse le devoir de procéder à des investigations. En effet, le préavis d'échéance du 31 juillet 2019 mentionnait que l'enfant était en formation, mais ne faisait plus référence au service civil si bien qu'elle pouvait présumer que ce dernier n'avait pas duré plus de 5 mois au sens du RAVS. Les recourants ne contestent par ailleurs pas l'indication de la CCNC selon laquelle c'est lors d'un contrôle le 31 mars 2021 qu'elle a pris connaissance des allocations perte de gain perçues durant le service civil et par conséquent du versement indu des allocations. La demande de restitution du 6 avril 2021 a dès lors été rendue dans le délai d'une année après connaissance du fait fondant l'obligation de restituer.</w:t>
      </w:r>
    </w:p>
    <w:p>
      <w:r>
        <w:t>7.Vu ce qui précède, le recours doit être admis et la décision sur opposition de la CCNC du 23 avril 2021 annulée, la cause lui étant renvoyée pour instruction complémentaire au sens des considérants. Il n'y a pas lieu de percevoir de frais judiciaires, la loi spéciale ne le prévoyant pas (art. 61 let. fbisLPGA), ni d'allouer des dépens dès lors que les recourants ne sont pas représentés par un mandataire professionnel et ne font pas état de frais particuliers (art. 61 let. g a contrario LPGA).</w:t>
      </w:r>
    </w:p>
    <w:p>
      <w:r>
        <w:t>Par ces motifs,la Cour de droit public</w:t>
      </w:r>
    </w:p>
    <w:p>
      <w:r>
        <w:t>1.Admet le recours, annule la décision sur opposition de la CCNC du 23 avril 2021 et lui renvoie la cause pour instruction complémentaire au sens des considérants.</w:t>
      </w:r>
    </w:p>
    <w:p>
      <w:r>
        <w:t>2.Statue sans frais.</w:t>
      </w:r>
    </w:p>
    <w:p>
      <w:r>
        <w:t>3.N'alloue pas de dépens.</w:t>
      </w:r>
    </w:p>
    <w:p>
      <w:r>
        <w:t>Neuchâtel, le 21 septembre 2021</w:t>
      </w:r>
    </w:p>
    <w:p>
      <w:r>
        <w:t>1Les allocations familiales au sens de la présente loi comprennent:</w:t>
      </w:r>
    </w:p>
    <w:p>
      <w:r>
        <w:t>a. lallocation pour enfant; elle est octroyée à partir du début du mois de la naissance de celui-ci et jusquà la fin du mois au cours duquel il atteint lâge de 16 ans; si lenfant donne droit à une allocation de formation avant lâge de 16 ans, cette dernière est versée en lieu et place de lallocation pour enfant; si lenfant est incapable dexercer une activité lucrative (art. 7 LPGA11), lallocation pour enfant est versée jusquà la fin du mois au cours duquel il atteint lâge de 20 ans;</w:t>
      </w:r>
    </w:p>
    <w:p>
      <w:r>
        <w:t>b. lallocation de formation; elle est octroyée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lallocation de formation est versée jusquà la fin de la formation de lenfant, mais au plus tard jusquà la fin du mois au cours duquel il atteint lâge de 25 ans.12</w:t>
      </w:r>
    </w:p>
    <w:p>
      <w:r>
        <w:t>2Les cantons peuvent prévoir dans leur régime dallocations familiales des taux minimaux plus élevés pour lallocation pour enfant et lallocation de formation13que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w:t>
      </w:r>
    </w:p>
    <w:p>
      <w:r>
        <w:t>3Lallocation de naissance est versée pour chaque enfant né vivant ou après une grossesse dau moins 23 semaines. Le Conseil fédéral peut fixer dautres conditions. Lallocation dadoption est versée pour chaque enfant mineur placé en vue de son adoption. Ladoption dun enfant au sens de lart. 264cdu code civil14ne donne pas droit à lallocation.15</w:t>
      </w:r>
    </w:p>
    <w:p>
      <w:r>
        <w:t>11RS830.1</w:t>
      </w:r>
    </w:p>
    <w:p>
      <w:r>
        <w:t>12Nouvelle teneur selon le ch. I de la LF du 27 sept. 2019, en vigueur depuis le 1eraoût 2020 (RO20202775;FF2019997).</w:t>
      </w:r>
    </w:p>
    <w:p>
      <w:r>
        <w:t>13Nouvelle expression selon le ch. I de la LF du 27 sept. 2019, en vigueur depuis le 1eraoût 2020 (RO20202775;FF2019997). Il a été tenu compte de cette mod. dans tout le texte.</w:t>
      </w:r>
    </w:p>
    <w:p>
      <w:r>
        <w:t>14RS210</w:t>
      </w:r>
    </w:p>
    <w:p>
      <w:r>
        <w:t>15Nouvelle teneur de la phrase selon lannexe ch. 4 de la LF du 17 juin 2016 (Droit de ladoption), en vigueur depuis le 1erjanv. 2018 (RO20173699;FF2015835).</w:t>
      </w:r>
    </w:p>
    <w:p>
      <w:r>
        <w:t>1Les enfants dont le père ou la mère est décédé ont droit à une rente dorphelin. En cas de décès des deux parents, ils ont droit à deux rentes dorphelin.</w:t>
      </w:r>
    </w:p>
    <w:p>
      <w:r>
        <w:t>2Les enfants trouvés ont droit à une rente dorphelin.</w:t>
      </w:r>
    </w:p>
    <w:p>
      <w:r>
        <w:t>3Le Conseil fédéral règle le droit à la rente dorphelin pour les enfants recueillis.</w:t>
      </w:r>
    </w:p>
    <w:p>
      <w:r>
        <w:t>4Le droit à une rente dorphelin prend naissance le premier jour du mois suivant le décès du père ou de la mère. Il séteint au 18eanniversaire ou au décès de lorphelin.</w:t>
      </w:r>
    </w:p>
    <w:p>
      <w:r>
        <w:t>5Pour les enfants qui accomplissent une formation, le droit à la rente sétend jus­quau terme de cette formation, mais au plus jusquà lâge de</w:t>
      </w:r>
    </w:p>
    <w:p>
      <w:r>
        <w:rPr>
          <w:b/>
        </w:rPr>
        <w:t>E. 25</w:t>
      </w:r>
    </w:p>
    <w:p>
      <w:r>
        <w:t>ans révolus. Le Con­seil fédéral peut définir ce que lon entend par formation.</w:t>
      </w:r>
    </w:p>
    <w:p>
      <w:r>
        <w:t>124Nouvelle teneur selon le ch. I de la LF du 7 oct. 1994 (10erévision AVS), en vigueur depuis le 1erjanv. 1997 (RO19962466;FF1990II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prestation.22Si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22Nouvelle teneur selon le ch. I de la LF du 21 juin 2019, en vigueur depuis le 1erjanv. 2021 (RO20205137;FF20181597).</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et33décider de ne pas entrer en matière. Il doit leur avoir adressé une mise en demeure écrite les avertissant des conséquences juridiques et leur impartissant un délai de réflexion convenable.</w:t>
      </w:r>
    </w:p>
    <w:p>
      <w:r>
        <w:t>33Rectifié par la Commission de rédaction de lAss. féd. (art. 33 LREC;RO19741051).</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1Un enfant est réputé en formation lorsquil suit une formation régulière reconnuede jureoude factoà laquelle il consacre la majeure partie de son temps et se prépare systématiquement à un diplôme professionnel ou obtient une formation générale qui sert de base en vue de différentes professions.</w:t>
      </w:r>
    </w:p>
    <w:p>
      <w:r>
        <w:t>2Sont également considérées comme formation les solutions transitoires doccupa­tion telles que les semestres de motivation et les préapprentissages, les séjours au pair et les séjours linguistiques, pour autant quils comprennent une partie de cours.</w:t>
      </w:r>
    </w:p>
    <w:p>
      <w:r>
        <w:t>3Lenfant nest pas considéré en formation si son revenu dactivité lucrative mensuel moyen est supérieur à la rente de vieillesse complète maximale de lAVS.</w:t>
      </w:r>
    </w:p>
    <w:p>
      <w:r>
        <w:t>191Introduit par le ch. I de lO du 24 sept. 2010, en vigueur depuis le 1erjanv.2011 (RO20104573).</w:t>
      </w:r>
    </w:p>
    <w:p>
      <w:r>
        <w:t>1La formation se termine avec un diplôme de fin détude ou un diplôme professionnel.</w:t>
      </w:r>
    </w:p>
    <w:p>
      <w:r>
        <w:t>2La formation est également considérée comme terminée lorsquelle est abandonnée ou interrompue ou lorsque le droit à une rente dinvalidité prend naissance.</w:t>
      </w:r>
    </w:p>
    <w:p>
      <w:r>
        <w:t>3Ne sont pas assimilés à une interruption au sens de lal. 2, pour autant que la formation se poursuive immédiatement après:</w:t>
      </w:r>
    </w:p>
    <w:p>
      <w:r>
        <w:t>a. les périodes usuelles libres de cours et les vacances dune durée maximale de quatre mois;</w:t>
      </w:r>
    </w:p>
    <w:p>
      <w:r>
        <w:t>b. le service militaire ou civil dune durée maximale de cinq mois;</w:t>
      </w:r>
    </w:p>
    <w:p>
      <w:r>
        <w:t>c. les interruptions pour raisons de santé ou de grossesse, jusquà une durée maximale de douze mois.</w:t>
      </w:r>
    </w:p>
    <w:p>
      <w:r>
        <w:t>192Introduit par le ch. I de lO du 24 sept. 2010, en vigueur depuis le 1erjanv.2011 (RO20104573).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