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CDP.2020.47 vom 20. Mai 2020</w:t>
      </w:r>
    </w:p>
    <w:p>
      <w:r>
        <w:t>NE Tribunal cantonal, 2020-05-20, FR</w:t>
      </w:r>
    </w:p>
    <w:p>
      <w:r>
        <w:rPr>
          <w:b/>
        </w:rPr>
        <w:t xml:space="preserve">Quelle: </w:t>
      </w:r>
      <w:r>
        <w:t>https://mcp.opencaselaw.ch/entscheid/ne_gerichte_CDP.2020.47</w:t>
      </w:r>
    </w:p>
    <w:p>
      <w:r>
        <w:t>FR: NE_GERICHTE CDP.2020.47 du 20 mai 2020</w:t>
      </w:r>
    </w:p>
    <w:p>
      <w:r>
        <w:t>IT: NE_GERICHTE CDP.2020.47 del 20 maggio 2020</w:t>
      </w:r>
    </w:p>
    <w:p>
      <w:pPr>
        <w:pStyle w:val="Heading2"/>
      </w:pPr>
      <w:r>
        <w:t>Erwägungen</w:t>
      </w:r>
    </w:p>
    <w:p>
      <w:r>
        <w:rPr>
          <w:b/>
        </w:rPr>
        <w:t>E. 5</w:t>
      </w:r>
    </w:p>
    <w:p>
      <w:r>
        <w:t>Pour ces motifs, le recours doit être rejeté. La conclusion visant le maintien de l'effet suspensif, pour autant que pertinente, devient sans objet. Selon la pratique de la Cour de céans en matière de litiges relatifs aux rapports de service, il n'est pas perçu de frais lorsque la valeur litigieuse n'excède pas 30'000 francs (cf. notamment arrêt non-publié de la Cour de droit public du 03.03.2016 [CDP.2015.300] cons. 7b et la référence citée). La recourante ayant conclu à l'annulation de la décision résiliant ses rapports de service, la valeur litigieuse porte potentiellement sur plusieurs mois, voire éventuellement plusieurs années de salaire (arrêt du TF du 13.05.2015 [8C_286/2014] cons. 1); elle dépasse donc 30'000 francs de sorte qu'il y a lieu de percevoir des frais, fixés à 880 francs. Vu le sort de la cause, ceux-ci doivent être mis à la charge de la collaboratrice qui succombe (art. 47 al. 1 LPJA ). Par ailleurs, il n'y a pas lieu de lui allouer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