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CDP.2020.353 vom 8. Dezember 2020</w:t>
      </w:r>
    </w:p>
    <w:p>
      <w:r>
        <w:t>NE Tribunal cantonal, 2020-12-08, FR</w:t>
      </w:r>
    </w:p>
    <w:p>
      <w:r>
        <w:rPr>
          <w:b/>
        </w:rPr>
        <w:t xml:space="preserve">Quelle: </w:t>
      </w:r>
      <w:r>
        <w:t>https://mcp.opencaselaw.ch/entscheid/ne_gerichte_CDP.2020.353</w:t>
      </w:r>
    </w:p>
    <w:p>
      <w:r>
        <w:t>FR: NE_GERICHTE CDP.2020.353 du 8 décembre 2020</w:t>
      </w:r>
    </w:p>
    <w:p>
      <w:r>
        <w:t>IT: NE_GERICHTE CDP.2020.353 del 8 dicembre 2020</w:t>
      </w:r>
    </w:p>
    <w:p>
      <w:pPr>
        <w:pStyle w:val="Heading2"/>
      </w:pPr>
      <w:r>
        <w:t>Erwägungen</w:t>
      </w:r>
    </w:p>
    <w:p>
      <w:r>
        <w:rPr>
          <w:b/>
        </w:rPr>
        <w:t>E. 1</w:t>
      </w:r>
    </w:p>
    <w:p>
      <w:r>
        <w:t>Interjeté dans les formes et délai légaux, le recours est recevable.</w:t>
      </w:r>
    </w:p>
    <w:p>
      <w:r>
        <w:rPr>
          <w:b/>
        </w:rPr>
        <w:t>E. 2</w:t>
      </w:r>
    </w:p>
    <w:p>
      <w:r>
        <w:t>Le litige porte tout d'abord sur la résiliation des rapports de travail de la recourante. Cette dernière a toutefois également conclu à l'allocation d'une indemnité équivalente à six mois de salaire, soit 42'000 francs, à titre de licenciement abusif, voire à titre d’indemnité pour suppression de poste. Une telle demande porte sur une prestation pécuniaire découlant des rapports de service et ressortit, selon la jurisprudence de la Cour de céans, à l'action de droit administratif au sens de l'article 58 LPJA. Le litige porte ainsi à la fois sur des questions à résoudre par le biais de la procédure ordinaire de recours d'une part, et par le biais de la procédure d'action, d'autre part.</w:t>
      </w:r>
    </w:p>
    <w:p>
      <w:r>
        <w:rPr>
          <w:b/>
        </w:rPr>
        <w:t>E. 3</w:t>
      </w:r>
    </w:p>
    <w:p>
      <w:r>
        <w:t>a) Les rapports de travail du personnel du CNP sont régis par la convention collective de travail CCT Santé 21 (art. 9 al. 1 LCNP) dans sa version de droit public valable pour les années 2017 à 2020. b) Aux termes de l'article 3.2.1 CCT Santé 21 , l'employé ou l'employeur peut résilier le contrat de travail moyennant le respect de délai variable en fonction du nombre d'années d'activité accomplies (al. 1). Selon l'article 3.2.2, toute résiliation signifiée par l'employeur doit être précédée d'un entretien (al. 2). Selon l’article</w:t>
      </w:r>
    </w:p>
    <w:p>
      <w:r>
        <w:rPr>
          <w:b/>
        </w:rPr>
        <w:t>E. 3.5</w:t>
      </w:r>
    </w:p>
    <w:p>
      <w:r>
        <w:t>CCT Santé 21 , e n cas de maladie non professionnelle, le contrat de travail peut être résilié après une période de six mois, quel que soit le taux d’absence. Dans ce cas, l’article 6.2 CCT Santé 21 – qui prévoit que l’employeur est tenu de conclure une assurance perte de gain en cas de maladie – doit être appliqué (al. 3). En cas de résiliation notifiée avant la période de protection de six mois, le délai de congé est suspendu et ne continue à courir qu’après la fin de cette période (al. 4). Les articles 336 à 336b (résiliation abusive) et 336c et 336d CO (résiliation en temps inopportun) sont applicables à titre de droit supplétif. Selon l'article 336 al. 1 let. a CO , le congé est abusif lorsqu'il est donné par une partie pour une raison inhérente à la personnalité de l'autre partie, à moins que cette raison n'ait un lien avec le rapport de travail ou ne porte sur un point essentiel un préjudice grave au travail dans l'entreprise. La maladie est une raison inhérente à la personnalité au sens de la disposition précitée. Toutefois, si elle porte atteinte à la capacité de travail, la maladie n'est pas considérée comme une cause abusive de résiliation ( ATF 123 III 246 cons. 5, 107 II 169 ). Ainsi, la résiliation des rapports de travail en raison d'une incapacité prolongée n'est pas abusive, à moins notamment que l'incapacité trouve sa cause dans une violation de ses obligations par l'employeur (arrêt du TF du 04.12.2015 [4A_437/2015] cons. 2.2.2 et les références citées). La résiliation du contrat de travail d’un employé qui a été harcelé sera considérée comme abusive lorsque le mobbing a provoqué chez le travailleur une baisse de rendement ou une période de maladie dont l’employeur se prévaut lors de la résiliation (arrêt du TF du 20.03.2006 [4C.320/2005] cons. 3.2; Dunand , Commentaire du contrat de travail, 2013, n. 30 ad art. 336). c) L’autorité de nomination dispose d’un large pouvoir d’appréciation pour déterminer si des justes motifs de renvoi existent ( ATF 118 Ib 164 cons. 4a). Selon la jurisprudence, l'autorité décide librement, dans les limites de son pouvoir d'appréciation, dont elle devra néanmoins user de façon consciencieuse, si la résiliation est justifiée. L'existence d'un juste motif autorisant le renvoi, immédiat ou non, n'a pas besoin d'être démontrée : il suffit que le licenciement se situe dans les limites du pouvoir appréciateur de l'autorité et apparaisse, au regard des prestations et du comportement de l'employé ainsi que des circonstances personnelles et des exigences de service, comme une mesure soutenable ( ATF 108 Ib 209 ; RJN 2007, p. 209 cons. 2b, 1998, p. 209 cons 3a, 1995, p. 147-148). Selon l'article 33 let. a et d LPJA , la Cour de céans examine uniquement si l'autorité a abusé de son pouvoir d'appréciation ou l'a excédé; elle n'est pas habilitée à contrôler l'opportunité de la décision puisque aucun texte légal applicable aux fonctionnaires de l’Etat ou aux employés d’ établissements de droit public dotés de la personnalité juridique ne lui en donne la compétence ( RJN 2007, p. 209 cons. 2b et la référence citée). A noter qu’en particulier ni la LCNP ni la CCT Santé 21 n’autorise la Cour de droit public à statuer en opportunité.</w:t>
      </w:r>
    </w:p>
    <w:p>
      <w:r>
        <w:rPr>
          <w:b/>
        </w:rPr>
        <w:t>E. 4</w:t>
      </w:r>
    </w:p>
    <w:p>
      <w:r>
        <w:t>a) En l’espèce, il n’est pas contesté que la recourante a connu une période prolongée d’incapacité de travail qui a débuté le 18 mai 2018 et qui a été interrompue par plusieurs reprises d’activité de durées plus ou moins longues, oscillant entre plusieurs mois et quelques jours. De même, il n’est pas remis en cause que, depuis le 22 janvier 2020, elle se trouve en incapacité de travail sans discontinuer à des taux variant entre 50 % et 100 %. Les dates des différentes périodes et les pourcentages d’incapacité, attestées par certificat médical, ne sont pas non plus remises en question. La recourante admet d’ailleurs que, compte tenu de la durée de sa maladie, elle n’était – au moment où la décision querellée a été rendue, le 8 septembre 2020 – plus protégée par la période de six mois durant laquelle un contrat de travail ne peut pas être résilié. Elle reconnaît également qu’en tant que tel une résiliation pour cause de maladie n’était pas abusive dans son cas. Elle soutient en revanche qu’il y a abus de droit en ce que l’intimé a usé du prétexte de sa maladie pour la licencier, de sorte que la question d’une suppression de poste déguisée se posait. La recourante ne soutient pas et a fortiori ne démontre pas que son incapacité de travail trouverait sa cause dans une violation de ses obligations par l'employeur. A noter à ce propos que son médecin généraliste traitant, qui a attesté de différentes périodes d’incapacité de travail, pose à titre de diagnostic une polyarthrite rhumatoïde présente depuis 2018. L’intéressée allègue toutefois que le CNP n’aurait respecté ni ses obligations en lien avec un licenciement collectif ni celles relatives au reclassement professionnel en cas de maladie. Force est de constater, déjà à ce stade, que la résiliation n'est pas abusive au sens précité (cf. cons. 3c ci-avant). Il apparaît en effet que l'incapacité de travail de longue durée en cause, plus précisément l’absence totale ou partielle pour cause de maladie non professionnelle de plus de six mois sur laquelle s’est fondée l’intimé pour prononcer le licenciement, ne résulte pas d'une violation des obligations de l'employeur. En d’autres termes, l’incapacité de travail n’est, ici, consécutive ni à des actes de mobbing , ni au non-respect par l’employeur de mesures visant à protéger la santé et/ou l’intégrité personnelle des collaborateurs. b) Ceci étant, il y a lieu de convenir que – si l’engagement pris par le CNP de réorienter une partie de ses activités, ainsi que de revoir son organisation, conformément aux options stratégiques 2015-2022 validées par le Grand Conseil, impliquait en particulier un redimensionnement structurel, logistique et administratif et, partant, un contexte de licenciement collectif et de suppressions de postes – cette situation ne pouvait avoir pour conséquence d’empêcher l’intimé de faire usage, pendant le temps que durerait cette profonde réorganisation institutionnelle, des différentes dispositions du chapitre 3 de la CCT Santé 21 , relatives à la fin des rapports de travail. En effet, il convient d’admettre qu’y compris dans une telle conjoncture, un employeur doit pouvoir, notamment, en cas de violation des obligations incombant à l’employé, ainsi qu’en cas de justes motifs résilier les relations de service. Admettre le contraire signifierait que, dès qu’une réorganisation ou une restructuration d’une institution met en péril l’emploi d’un certain nombre de collaborateurs, l’employeur ne pourrait plus procéder à des résiliations en dehors du cadre du licenciement collectif. Or, on ne saurait considérer que les auteurs de la CCT Santé 21 aient voulu exclure, dans un tel contexte, toutes possibilités de résiliation autre que la suppression de poste, alors même que les motifs et les conditions de licenciement prévus par la convention seraient réunis. Il faut dès lors convenir que, même dans une situation de licenciement collectif avec suppressions de postes et plan social, l’employeur, soit ici le CNP, doit pouvoir, conformément à l’article 3.5 al. 3 CCT Santé 21 , résilier le contrat de travail notamment en cas de maladie non professionnelle impliquant une absence depuis plus de six mois, et ce indépendamment du taux d’incapacité. En d’autres termes, le fait que la résiliation des rapports de service pour cause de maladie soit, en l’occurrence, intervenue dans un contexte de profonde réorganisation institutionnelle, ne signifie pas encore que la décision entreprise constituerait un cas de suppression de poste déguisée . Tout d’abord, il convient de rappeler que la recourante a, elle-même, admis que la période de protection de six mois, avant le prononcé de la résiliation litigieuse, a été respectée. L’intimé a de plus considéré que cette absence perturbait le bon fonctionnement du service, ce qui ne peut être remis en cause – l’intéressée ne tente d’ailleurs pas de le faire – par le seul fait que le secteur des EMS auquel elle a été affectée , dès le 1 er décembre 2014, était destiné à cesser ses activités, à tout le moins telles qu’il les avait connues jusque-là, à moyen-court terme . On ne peut en effet exclure que tant que ce secteur continuerait à offrir des prestations, par le biais d’activités occupationnelles et d’hébergement en faveur des résidents des EMS du CNP, l’absence de longue durée de la recourante pouvait impacter l’organisation inhérentes du service et, partant, ses collègues. Elle ne le conteste pas. D’ailleurs, comme exposé ci-avant, un tel motif fondé sur l'absence de l’intéressée pour cause de maladie de longue durée n’est pas en soi abusif. A noter à ce sujet que le droit public, qui ne connaissait précédemment pas la notion de congé en temps inopportun, soit renvoie à l'article 336c CO, soit établit des listes mentionnant des périodes pendant lesquelles le licenciement est donné en temps inopportun, soit accorder une protection importante aux employés, notamment un droit au salaire étendu en cas de maladie ( Rosello , Les influences du droit privé du travail sur le droit de la fonction publique, collection CERT, 2016, p. 295 no 608). Une fois le droit au salaire écoulé, les employeurs publics sont en principe libres de résilier les rapports de service de l'employé même si celui-ci est encore malade ou accidenté ( Rosello , op. cit., p. 298 no 613). Au vu du texte clair de l’article 3.5 CCT Santé 21 , il apparaît que c’est la deuxième possibilité qui a été privilégiée et adoptée les auteurs de la convention, avec néanmoins un renvoi à l’article 336c CO à titre de droit supplétif . Ceci étant, on relèvera encore que le médecin généraliste traitant a indiqué que, nonobstant le traitement par injections de méthotrexate, la polyarthrite rhumatoïde dont souffrait sa patiente engendrait une importante fatigue, des douleurs articulaires et une difficulté à mobiliser ses articulations. Certes, ce praticien a signalé qu’il pensait que le poste d’ICUS au sein du site de Perreux était adapté, du point de vue physique, car peu exigeant et permettant une adaptation de l’environnement aux limitations fonctionnelles de l’intéressée, tout en précisant qu’un poste physiquement plus exigeant, telle qu’infirmière en psychiatrie « à l’étage » , présenterait un risque élevé d’incapacité de travail (cf. rapport du 18.09.2019 du Dr A.________). La recourante a toutefois confirmé, tant par courriel du 29 juin 2020 que lors de l’entretien du 3 septembre suivant, être toujours dans une phase instable de la maladie et en totale incapacité de travail. Elle a de plus précisé, lors dudit entretien, respectivement, souffrir d’une pathologie non traitable, dont elle ne guérira pas et qui impliquera constamment des hauts et des bas, ne pas savoir aujourd’hui quelle activité elle pourra envisager entreprendre, ni à compter de quand et à quel pourcentage, ne pas présenter un état de santé lui permettant actuellement d’intégrer le dispositif d'accompagnement mis en place par le biais du plan social, ainsi que n’avoir procédé à aucune recherches en vue de trouver un poste équivalent, et ce en raison de son état de santé. Elle a également signalé avoir déposé une demande de prestations AI en décembre 2019 et craindre le « trou » entre la fin du versement des indemnités d'assurance perte de gain maladie et les versements de l’assurance-invalidité. Au regard de ces éléments, on ne saurait admettre que l’intimé a abusé de son pouvoir d'appréciation en déduisant de la longue absence de sa collaboratrice non seulement qu'elle n’intégrerait pas son poste de travail dans un avenir proche et que la bonne marche du service était menacée, la recourante occupant un poste d’infirmière-cheffe d'unité de soins, mais également que, dans le cadre du plan social et de ses mesures d’accompagnement, sa candidature ne pouvait être soutenue auprès d’autres institutions, puisqu’elle présentait une incapacité de travail depuis plus de six mois et que cette incapacité étant, aux dires même de l’intéressée, appelée à durer encore, elle n’était pour l’heure pas employable. Dans ces circonstances, et en l’absence d’une remise en cause de l'incapacité de travail, on ne saurait pas non plus reprocher au CNP de ne pas avoir désigné un médecin pour examiner sa collaboratrice, celle-ci ne soutenant d’ailleurs pas qu’il aurait dû être procédé à un tel examen. c) Par conséquent et au vu de ce qui précède, il apparaît que c’est sans abus ni excès de son pouvoir d’appréciation que l’intimé a mis fin aux rapports de service de la recourante. Rien au dossier ne permet d’ailleurs de retenir que, si l’intéressée n’avait pas présenté une incapacité de travail de longue durée et pour une période encore indéterminée, qui plus est en lien avec un état de santé non stabilisé, la réorganisation du CNP aurait, dans les faits, conduit à une suppression de poste, faute notamment de reclassement dans l’institution, de transfert ou de mutation dans une institution soumise à la CCT Santé 21 ou encore de toutes autres mesures utiles. Il n’y a en effet aucune raison de remettre en cause l’appréciation de l’employeur, d’ailleurs non contesté par la recourante, selon laquelle bénéficiant d'une grande expérience professionnelle et d’un profil recherché sur le marché de l’emploi, elle aurait en l’absence d’incapacité de travail de longue durée – comme la plupart de ses collègues – été reclassée dans une fonction équivalente, au CNP ou auprès de l'un de ses partenaires. Dans ces conditions, on ne saurait suivre la recourante lorsqu’elle soutient que la résiliation prononcée par l’intimé pour cause de maladie constituerait une suppression de poste déguisée. Les conditions d’une résiliation pour le motif invoqué par l’employeur sont réalisées, de sorte que celui-ci pouvait valablement mettre un terme aux rapports de service pour cette raison, sans qu’on puisse lui reprocher une suppression de poste déguisée au seul motif que le licenciement prenait place dans un contexte de profonde réorganisation institutionnelle, en lien avec la mise en place d’un plan social. Dans la mesure où il n’est pas contestable que la résiliation en cause est intervenue pour cause de maladie et non en raison d’une suppression de poste dans le cadre d’un licenciement collectif, il n’y a pas lieu d’examiner si l’intimé a observé ses obligations résultant tout particulièrement du règlement applicable en cas de licenciement collectif de la CCT Santé 21 , pas plus qu’il n’est utile de regarder si la recourante a quant à elle respecté les devoirs incombant aux employés dans ce genre de situation, ni d’ailleurs si elle entre dans ce qu’elle nomme « cas limites ». On relèvera simplement sur ce dernier point que l’intéressée a expressément admis ne pas en remplir « exactement » les critères fixés, à savoir être âgée de 57 ans révolus en 2020 et ne pas bénéficier d’une formation professionnelle qualifiante, la seule condition qu’elle remplit étant celle de travailler au CNP depuis plus de 15 ans. Egalement pour ce motif de conformité de la résiliation pour cause de maladie et, partant, d’exclusion dans le cas d’espèce d’une résiliation pour suppression de poste dans le cadre d’un licenciement collectif, il n’apparaît pas nécessaire d’examiner le grief de violation du principe de l’égalité de traitement, indirectement invoquée par la recourante. Tout au plus signalera-t-on que celle-ci développe à ce sujet une argumentation non étayée; elle ne prétend pas et a fortiori ne démontre pas que ses collègues d’ores et déjà reclassés dans une fonction équivalente ou ayant eu des entretiens avec des institutions partenaires, voire des propositions, se trouvaient dans une situation semblable à la sienne, en particulier auraient présenté une incapacité de travail aussi longue. Or, l’égalité de traitement (art. 8 Cst. féd.) impose à l’Etat et à l’administration non seulement de traiter de manière semblable des situations semblables, mais également de traiter de manière différenciée des situations différenciées. S’agissant de l’article 7.7 CCT Santé 21 , invoqué par l’intéressée, qui traite du reclassement du personnel en cas de problèmes de santé, on soulignera qu’il concerne les employés empêchés de poursuivre leur activité professionnelle de façon définitive, pour cause de problèmes de santé. Or, force est de constater au vu de ce qui précède que non seulement l’état de santé de la recourante n’est pas stabilisé, mais que de plus son médecin généraliste traitant considère l’activité d’ICUS comme adaptée et à même de maintenir sa capacité de travail. Force est dès lors de convenir qu’il n’est nullement établi à satisfaction de droit, bien au contraire, que la recourante serait empêchée de manière définitive de poursuivre une activité d’ICUS. d) Par conséquent et au vu de ce qui précède, c’est à bon droit et sans abus ni excès de son pouvoir d’appréciation que l’intimé a mis fin aux rapports de service de l’intéressée. La date du 31 décembre 2020, qui respecte le préavis de trois mois de l’article 3.2.1 CCT Santé 21 et n’est pas contestée, est en outre conforme au droit. La décision attaquée n’est donc pas critiquable.</w:t>
      </w:r>
    </w:p>
    <w:p>
      <w:r>
        <w:rPr>
          <w:b/>
        </w:rPr>
        <w:t>E. 5</w:t>
      </w:r>
    </w:p>
    <w:p>
      <w:r>
        <w:t>Enfin, l’intéressée conclut à l’octroi d'une indemnité équivalente à six mois de salaire, soit 42'000 francs, à titre de licenciement abusif, voire à titre d’indemnité pour suppression de poste. Une telle demande ressortit en principe à l'action de droit administratif au sens de l'article 58 LPJA . Elle porte en effet sur une prestation pécuniaire découlant des rapports de service (art. 58 let. a LPJA ). Les prétentions de l’intéressée, à supposer recevables, doivent d'emblée être rejetées sans autres mesures d'instruction ni échanges d'écritures. Pour les motifs figurant ci-dessus, on ne saurait considérer que le licenciement est abusif, ou encore que le comportement reproché au CNP serait constitutif d’une suppression de poste déguisée, qui aurait justifié l’octroi d’une indemnité.</w:t>
      </w:r>
    </w:p>
    <w:p>
      <w:r>
        <w:rPr>
          <w:b/>
        </w:rPr>
        <w:t>E. 6</w:t>
      </w:r>
    </w:p>
    <w:p>
      <w:r>
        <w:t>a) Compte tenu de ce qui précède, la décision querellée doit être confirmée, respectivement, le recours et l’action de droit administratif doivent être rejetés, dans la mesure de leur recevabilité. Le dossier permettant de juger la cause en l’état, il n’y a pas lieu de donner suite aux réquisitions de la recourante tendant à son interrogatoire et à l’audition de témoins. Le présent arrêt rend par ailleurs sans objet la conclusion de l’intéressée quant à l’effet suspensif. b) Selon la pratique de la Cour de céans en matière de litiges relatifs aux rapports de service, il n’est pas perçu de frais lorsque la valeur litigieuse n’excède pas 30'000 francs. Ceci vaut tant pour les procédures de recours que de l’action de droit administratif (cf. notamment arrêt de la Cour de droit public du 03.03.2016 [ CDP.2015.300 ] cons. 7b et la référence citée). S’agissant du recours, la valeur litigieuse porte, à tout le moins, sur plusieurs mois de salaires, à mesure que la recourante conclut à l’annulation de la décision du 8 septembre 2020, par laquelle les rapports de service ont été résiliés au 31 décembre suivant, et, partant, indirectement à la poursuite desdits rapports (arrêt du TF du 13.05.2015 [8C_286/2014] cons. 1); elle dépasse donc largement 30'000 francs, de sorte qu’il y a lieu de percevoir des frais de 880 francs à charge de la recourante, compte tenu du sort du recours (art. 47 LTFrais en lien avec l’art. 47 al. 1 LPJA ). S’agissant du deuxième objet de la procédure (action de droit administratif), la valeur litigieuse excède également 30'000 francs puisqu’elle porte sur l’allocation d’une indemnité de 42'000 francs, à titre soit de licenciement abusif, soit de suppression de poste. Ainsi, au vu du sort de la cause et de la mise à contribution à cet égard de la Cour de céans, les frais de procédure pour l’action seront fixés à 440 francs et mis à la charge de l’intéressée (art. 12 al. 3 LTFrais par renvoi de l’art. 51 LTFrais et en lien avec l‘art. 60 al. 3 LPJA ). Par ailleurs, cette dernière n’a pas droit à une allocation de dépens (art. 48 LPJA a contrario et art. 60 al. 2 LPJA qui y renvoie).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