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CDP.2020.334 vom 10. Februar 2022</w:t>
      </w:r>
    </w:p>
    <w:p>
      <w:r>
        <w:t>NE Tribunal cantonal, 2022-02-10, FR</w:t>
      </w:r>
    </w:p>
    <w:p>
      <w:r>
        <w:rPr>
          <w:b/>
        </w:rPr>
        <w:t xml:space="preserve">Quelle: </w:t>
      </w:r>
      <w:r>
        <w:t>https://mcp.opencaselaw.ch/entscheid/ne_gerichte_CDP.2020.334</w:t>
      </w:r>
    </w:p>
    <w:p>
      <w:r>
        <w:t>FR: NE_GERICHTE CDP.2020.334 du 10 février 2022</w:t>
      </w:r>
    </w:p>
    <w:p>
      <w:r>
        <w:t>IT: NE_GERICHTE CDP.2020.334 del 10 febbraio 2022</w:t>
      </w:r>
    </w:p>
    <w:p>
      <w:pPr>
        <w:pStyle w:val="Heading2"/>
      </w:pPr>
      <w:r>
        <w:t>Erwägungen</w:t>
      </w:r>
    </w:p>
    <w:p>
      <w:r>
        <w:rPr>
          <w:b/>
        </w:rPr>
        <w:t>E. 1</w:t>
      </w:r>
    </w:p>
    <w:p>
      <w:r>
        <w:t>________ et C</w:t>
      </w:r>
    </w:p>
    <w:p>
      <w:r>
        <w:rPr>
          <w:b/>
        </w:rPr>
        <w:t>E. 2</w:t>
      </w:r>
    </w:p>
    <w:p>
      <w:r>
        <w:t>LFo). Outre quon ignore les raisons qui ont conduit à loctroi dune dérogation pour le bâtiment auquel il est fait référence, cette dérogation était quoi quil en soit le résultat dune pesée des intérêts en présence dans ce cas particulier, de sorte quil nest pas transposable au cas despèce, dont il nest ni établi ni prétendu quil mettrait en présence les mêmes intérêts. On ne saurait par conséquent en tirer aucune conclusion pour justifier loctroi dune dérogation semblable. Dans un deuxième temps, lingénieur forestier a cité les essences composant la lisière de la forêt sise sur larticle 5206 (et très succinctement sur larticle 5285), sans autre commentaire, et évalué la hauteur moyenne du peuplement à 20 mètres (respectivement 10 mètres pour le peuplement sur larticle 5285. Il ne sest toutefois pas prononcé sur la valeur biologique de ces lisières alors même que selon la jurisprudence les lisières présentent en règle générale une grande valeur biologique, raison pour laquelle le législateur reconnaît la nécessité de les protéger (FF 1998 III ch. 224, p. 183). Sous langle de la conservation de la forêt, le Tribunal fédéral a ainsi considéré que, à part le risque dincendie, la proximité de lactivité humaine était susceptible de porter préjudice à une lisière, ce dautant plus lorsquelle constitue un biotope digne de protection au sens de l'article 18 a. 1bis LPN (arrêt du TF du07.06.2021 [1C_163/2020]cons. 3.6.2). Faute délément à ce sujet, on ignore toujours ce quil en est des lisières concernées par la dérogation. Enfin lingénieur forestier a, respectivement, exclu (quasiment) tout risque de chute darbres compte tenu de la direction des vents dominants, garanti léventuelle exploitation du bois et la circulation des piétons en lisière de la forêt, ainsi que constaté la présence dune route communale de 5 mètres entre les parcelles à construire et les forêts concernées par la dérogation.</w:t>
      </w:r>
    </w:p>
    <w:p>
      <w:r>
        <w:t>Dans le cadre de la procédure de recours devant le Conseil dEtat, le SFFN a déposé, le 28 mai 2020, un nouveau préavis tout aussi lacunaire sur la question de la valeur écologique des lisières. On relève par contre quà cette occasion, après avoir indiqué que la hauteur des arbres dominants avait légèrement augmenté depuis 2013 (23-25 mètres), le SFFN a fait une évaluation différente du risque de chute darbres en cas de tempête, expliquant que «des tourbillons peuvent toutefois se former et renverser des arbres dans toutes les directions quelle que soit la direction générale du vent». Cette circonstance a dailleurs conduit le SFFNà préciser quen cas de chute éventuelle darbres, sa responsabilité et celle du propriétaire de la forêt ne pourraient pas être engagées, que le requérant ne pourrait pas demander labattage darbres pour des raisons de commodité et quil assumerait lentier des inconvénients liés à la présence rapprochée de la forêt comme lombrage, les feuilles mortes ou lhumidité. Or, du point de vue du risque de chute darbres, le Tribunal fédéral a rappelé récemment que cet aspect procédait d'un intérêt public important lié à la protection des personnes et des biens contre les dangers naturels(arrêt du TF du07.06.2021 [1C_163/2020]cons. 3.6.3). Certes, comme le relève le Conseil dEtat, la haute Cour avait considéré, dans un arrêt plus ancien, que larticle 16 al. 3 LFo nexigeait pas que tout risque de chute darbre, susceptible datteindre les bâtiments, soit absolument exclu (arrêt du09.06.2000 [1P.482/1999]cons. 3). Toutefois, dans cet arrêt, qui confirmait le bien-fondé de loctroi dune dérogation, lingénieur forestier avait estimé que, compte tenu de la hauteur des arbres et de langle formé par la lisière, une sécurité suffisante était préservée en cas de chute darbres. Cela ne semble pas être le cas en lespèce au vu de la démarche préventive du SFFN de se dégager et dégager les propriétaires des forêts concernées de toute responsabilité en cas de chute darbres, de branches ou de feuilles. A cet égard, on peut douter que la simple mention dune exclusion de responsabilité dans un rapport du SFFN puisse avoir une quelconque valeur contraignante à légard des propriétaires des constructions projetées. Cela étant, le fait quun propriétaire soit prêt à assumer les risques liés à une chute darbre nest pas déterminant, dès lors quon ne peut pas faire dépendre loctroi dune dérogation du seul accord du propriétaire daccepter ce risque de chute (cf. RJN 1992 p. 221 cons. 2).</w:t>
      </w:r>
    </w:p>
    <w:p>
      <w:r>
        <w:t>c) Au vu de ce qui précède, le conseil communal devra compléter son instruction non seulement sur la question de la valeur écologique des lisières et des conséquences dune trop grande proximité avec des constructions, mais également sur la problématique dintérêt public du risque de chute darbres, lequel napparaît plus si anecdotique quil semblait lêtre en 2013. Après quoi, il procédera à une pesée complète des intérêts en présence selon les termes de larticle 35 al. 3RELCFo, en prenant notamment en considération, dune part, les besoins de la forêt et le respect des lisières, et, dautre part, les exigences dune utilisation rationnelle du terrain destiné à la construction. Sur ce point, on relève que la raison invoquée pour construire à 10 mètres de la forêt ne résulte pas dune utilisation rationnelle des terrains constructibles. Selon le «Rapport justificatif en vue de lenquête publique complémentaire» du mois de juillet 2017, il est en effet indiqué que :« [a]fin de garder une cohérence urbanistique et un front bâti avec limmeuble existant du Chemin-Perdu 8-12, situé dans langle nord-ouest du plan de quartier, il a été décidé dimplanter les futures constructions sur le même front et dans un même alignement routier existant. Cette implantation nécessite une diminution de la distance des constructions à la lisière de la forêt à 10 mètres» (ch. 1.2).</w:t>
      </w:r>
    </w:p>
    <w:p>
      <w:r>
        <w:t>4.a) Il résulte des considérants qui précèdent que, bien fondé, le recours doit être admis, et les décisions attaquées, ainsi que celle duconseil communal du 14 septembre 2018doivent être annulées et que la cause doit être renvoyée à lautorité communale au sens de ce qui précède. Vu lissue du litige, les frais seront mis à la charge de E.________ SA qui succombe dans ses conclusions.</w:t>
      </w:r>
    </w:p>
    <w:p>
      <w:r>
        <w:t>b) Obtenant gain de cause, les recourants ont par ailleurs droit à des dépens (art. 48LPJA) à la charge par moitié de lautorité communale et par moitié de E.________ SA. En labsence dun état des honoraires et des frais, il sera statué sur la base du dossier (art. 64 al. 2 LTFraispar renvoi de lart. 67 LTFrais). Tout bien considéré, l'activité déployée peut être estimée à quelque 8 heures. Eu égard au tarif appliqué par la Cour de céans de l'ordre de 280 francs de l'heure (CHF 2240), des débours à raison de 10 % des honoraires (CHF 224; art. 63 LTFraispar renvoi de lart. 67 LTFraiss), ainsi que la TVA au taux de 7,7 % (CHF 189.75), c'est un montant global de 2653.75 francs qui sera alloué aux recourants à titre de dépens.</w:t>
      </w:r>
    </w:p>
    <w:p>
      <w:r>
        <w:t>Par ces motifs,la Cour de droit public</w:t>
      </w:r>
    </w:p>
    <w:p>
      <w:r>
        <w:t>1.Admet le recours.</w:t>
      </w:r>
    </w:p>
    <w:p>
      <w:r>
        <w:t>2.Annule les décisions du Conseil d'Etat du 19 août 2020, ainsi que celle du Conseil communal de la Ville de La Chaux-de-Fonds du 14 septembre 2018 et renvoie la cause à ce dernier pour quil procède selon les considérants.</w:t>
      </w:r>
    </w:p>
    <w:p>
      <w:r>
        <w:t>3.Met à la charge de E.________ SA les frais de la décision par 1'320 francs et ordonne le remboursement aux recourants de leur avance de frais.</w:t>
      </w:r>
    </w:p>
    <w:p>
      <w:r>
        <w:t>4.Alloue aux recourants une indemnité de dépens de2653.75francs à la charge par moitié de lautorité communale et de E.________ SA.</w:t>
      </w:r>
    </w:p>
    <w:p>
      <w:r>
        <w:t>5.Invite le Conseil d'Etat à statuer sur les frais et dépens de première instance.</w:t>
      </w:r>
    </w:p>
    <w:p>
      <w:r>
        <w:t>Neuchâtel, le 10 février 2022</w:t>
      </w:r>
    </w:p>
    <w:p>
      <w:r>
        <w:t>1Les constructions et installations à proximité de la forêt peuvent être autorisées uniquement si elles nen compromettent ni la conservation, ni le traitement, ni lex­ploitation.</w:t>
      </w:r>
    </w:p>
    <w:p>
      <w:r>
        <w:t>2Les cantons fixent la distance minimale appropriée qui doit séparer les construc­tions et les installations de la lisière de la forêt. Cette distance est déterminée compte tenu de la situation et de la hauteur prévisible du peuplement.</w:t>
      </w:r>
    </w:p>
    <w:p>
      <w:r>
        <w:t>3Si des raisons importantes le justifient, les autorités compétentes peuvent autoriser une distance plus courte en imposant des conditions et des charges.21</w:t>
      </w:r>
    </w:p>
    <w:p>
      <w:r>
        <w:t>21Introduit par le ch. I de la LF du 18 mars 2016, en vigueur depuis le 1erjanv. 2017 (RO20163207;FF20144775).</w:t>
      </w:r>
    </w:p>
    <w:p>
      <w:r>
        <w:rPr>
          <w:b/>
        </w:rPr>
        <w:t>E. 3</w:t>
      </w:r>
    </w:p>
    <w:p>
      <w:r>
        <w:t>a) En l’espèce, par arrêt du 15 mars 2013, la Cour de droit public a renvoyé la cause au conseil communal notamment pour qu’il procède aux mesures d'instruction nécessaires pour se prononcer de manière conforme à la loi sur la question de la dérogation à l'interdiction de construire à moins de 30 mètres de la lisière de la forêt. Quoi qu’en pense le conseil communal, force est de constater que celui-ci ne s’est pas entièrement conformé aux instructions de l’arrêt de renvoi. Il s’est en effet contenté, sans autre examen, de suivre le préavis favorable de l’ingénieur forestier du 15 octobre 2013 aux motifs, d’une part, qu’il s’agirait de l’avis d’un expert dont il n’y aurait pas lieu de s’écarter sans de bons motifs, inexistants en l’état, et, d’autre part, que les opposants n’auraient pas exposé en quoi la pesée des intérêts effectuée par cet expert serait inadmissible. Premièrement, on ne trouve aucun document dans le dossier communal qui attesterait que les propriétaires des forêts concernées par la dérogation ont été consultés ou, à tout le moins, eu l’occasion de se déterminer sur le préavis précité avant la nouvelle mise à l’enquête publique complémentaire du projet en 2018, ce qui se justifiait d’autant plus vu l’écoulement du temps. Deuxièmement, et surtout, il n’appartient pas à l’ingénieur forestier, respectivement au SFFN, mais bien à l’autorité compétente en matière de dérogation de procéder à la pesée des intérêts en présence conformément à l’article 35 al. 3 RELCFo . Dans le cadre de celle-ci, le préavis de l’ingénieur forestier ou du SFFN est un élément participant à la prise de décision parmi d’autres. En conséquence, le dossier sera une nouvelle fois retourné au conseil communal pour qu’il se conforme aux instructions de l’arrêt de renvoi du 15 mars 2013, complétées par les considérants qui suivent. b) Dans son arrêt, la Cour de droit public avait justifié le renvoi de la cause à l’autorité communale en ces termes : " Dans le cas particulier, le plan de quartier litigieux a fixé la limite à 10 mètres, que le Conseil d'Etat a considérée comme conforme à l'article 16 LCFo, au motif que, selon le rapport de synthèse du SAT du 23 mai 2006 (ch. 4.2.8), le service des forêts l'avait admise. Toutefois, on ignore ce qui a conduit ce service à préaviser favorablement cette limite; on ignore en particulier la nature du peuplement forestier en question, sa hauteur, voire les inconvénients qu'une trop grande proximité avec des constructions présenterait; on ignore d'ailleurs si un ingénieur forestier s'est rendu sur place et, dans l'affirmative, quelles ont été ses constatations et conclusions; on ignore également si le propriétaire de la forêt en cause, soit le recourant C.X2________, a été consulté; on ignore enfin s'il a été procédé à une pesée des intérêts en présence au sens de l'article 35 al. 3 RELCFo ." D ans son préavis du 15 octobre 2013, l’ingénieur forestier a énuméré les raisons pour lesquelles une distance de 10 mètres à la forêt était acceptable pour le SFFN. Il a mentionné en tout premier lieu le fait qu’un bâtiment était déjà construit à l’ouest dans l’alignement du projet et qu’il se trouvait déjà à une distance de 10 mètres de la lisière forestière. Or, en l’absence de toute pesée des intérêts conforme à la loi, cette seule circonstance ne saurait justifier une dérogation, au risque de dénier à cet instrument son caractère exceptionnel. Une telle justification irait en outre à l’encontre du sens et du but des articles 16 LCFo et 37 RELCFo , ainsi que des exigences du droit fédéral qui conditionnent l’octroi d’une dérogation à l’existence de motifs importants (art. 17 al. 2 LFo ). Outre qu’on ignore les raisons qui ont conduit à l’octroi d’une dérogation pour le bâtiment auquel il est fait référence, cette dérogation était quoi qu’il en soit le résultat d’une pesée des intérêts en présence dans ce cas particulier, de sorte qu’il n’est pas transposable au cas d’espèce, dont il n’est ni établi ni prétendu qu’il mettrait en présence les mêmes intérêts. On ne saurait par conséquent en tirer aucune conclusion pour justifier l’octroi d’une dérogation semblable. Dans un deuxième temps, l’ingénieur forestier a cité les essences composant la lisière de la forêt sise sur l’article 5206 (et très succinctement sur l’article 5285), sans autre commentaire, et évalué la hauteur moyenne du peuplement à 20 mètres (respectivement 10 mètres pour le peuplement sur l’article 5285. Il ne s’est toutefois pas prononcé sur la valeur biologique de ces lisières alors même que selon la jurisprudence les lisières présentent en règle générale une grande valeur biologique, raison pour laquelle le législateur reconnaît la nécessité de les protéger (FF 1998 III ch. 224, p. 183). Sous l’angle de la conservation de la forêt, le Tribunal fédéral a ainsi considéré que, à part le risque d’incendie, la proximité de l’activité humaine était susceptible de porter préjudice à une lisière, ce d’autant plus lorsqu’elle constitue un biotope digne de protection au sens de l'article 18 a. 1bis LPN (arrêt du TF du 07.06.2021 [1C_163/2020] cons. 3.6.2). Faute d’élément à ce sujet, on ignore toujours ce qu’il en est des lisières concernées par la dérogation. Enfin l’ingénieur forestier a, respectivement, exclu (quasiment) tout risque de chute d’arbres compte tenu de la direction des vents dominants, garanti l’éventuelle exploitation du bois et la circulation des piétons en lisière de la forêt, ainsi que constaté la présence d’une route communale de 5 mètres entre les parcelles à construire et les forêts concernées par la dérogation. Dans le cadre de la procédure de recours devant le Conseil d’Etat, le SFFN a déposé, le 28 mai 2020, un nouveau préavis tout aussi lacunaire sur la question de la valeur écologique des lisières. On relève par contre qu’à cette occasion, après avoir indiqué que la hauteur des arbres dominants avait légèrement augmenté depuis 2013 (23-25 mètres), le SFFN a fait une évaluation différente du risque de chute d’arbres en cas de tempête, expliquant que « des tourbillons peuvent toutefois se former et renverser des arbres dans toutes les directions quelle que soit la direction générale du vent ». Cette circonstance a d’ailleurs conduit le SFFN à préciser qu’en cas de chute éventuelle d’arbres, sa responsabilité et celle du propriétaire de la forêt ne pourraient pas être engagées, que le requérant ne pourrait pas demander l’abattage d’arbres pour des raisons de commodité et qu’il assumerait l’entier des inconvénients liés à la présence rapprochée de la forêt comme l’ombrage, les feuilles mortes ou l’humidité. Or, du point de vue du risque de chute d’arbres, le Tribunal fédéral a rappelé récemment que cet aspect procédait d'un intérêt public important lié à la protection des personnes et des biens contre les dangers naturels (arrêt du TF du 07.06.2021 [ 1C_163/2020] cons. 3.6.3). Certes, comme le relève le Conseil d’Etat, la haute Cour avait considéré, dans un arrêt plus ancien, que l’article 16 al. 3 LFo n’exigeait pas que tout risque de chute d’arbre, susceptible d’atteindre les bâtiments, soit absolument exclu (arrêt du 09.06.2000 [1P.482/1999] cons. 3). Toutefois, dans cet arrêt, qui confirmait le bien-fondé de l’octroi d’une dérogation, l’ingénieur forestier avait estimé que, compte tenu de la hauteur des arbres et de l’angle formé par la lisière, une sécurité suffisante était préservée en cas de chute d’arbres. Cela ne semble pas être le cas en l’espèce au vu de la démarche préventive du SFFN de se dégager et dégager les propriétaires des forêts concernées de toute responsabilité en cas de chute d’arbres, de branches ou de feuilles. A cet égard, on peut douter que la simple mention d’une exclusion de responsabilité dans un rapport du SFFN puisse avoir une quelconque valeur contraignante à l’égard des propriétaires des constructions projetées. Cela étant, le fait qu’un propriétaire soit prêt à assumer les risques liés à une chute d’arbre n’est pas déterminant, dès lors qu’on ne peut pas faire dépendre l’octroi d’une dérogation du seul accord du propriétaire d’accepter ce risque de chute (cf. RJN 1992 p. 221 cons. 2). c) Au vu de ce qui précède, le conseil communal devra compléter son instruction non seulement sur la question de la valeur écologique des lisières et des conséquences d’une trop grande proximité avec des constructions, mais également sur la problématique d’intérêt public du risque de chute d’arbres, lequel n’apparaît plus si anecdotique qu’il semblait l’être en 2013. Après quoi, il procédera à une pesée complète des intérêts en présence selon les termes de l’article 35 al. 3 RELCFo , en prenant notamment en considération, d’une part, les besoins de la forêt et le respect des lisières, et, d’autre part, les exigences d’une utilisation rationnelle du terrain destiné à la construction. Sur ce point, on relève que la raison invoquée pour construire à 10 mètres de la forêt ne résulte pas d’une utilisation rationnelle des terrains constructibles. Selon le « Rapport justificatif en vue de l’enquête publique complémentaire » du mois de juillet 2017, il est en effet indiqué que : « [a]fin de garder une cohérence urbanistique et un front bâti avec l’immeuble existant du Chemin-Perdu 8-12, situé dans l’angle nord-ouest du plan de quartier, il a été décidé d’implanter les futures constructions sur le même front et dans un même alignement routier existant. Cette implantation nécessite une diminution de la distance des constructions à la lisière de la forêt à 10 mètres » (ch. 1.2).</w:t>
      </w:r>
    </w:p>
    <w:p>
      <w:r>
        <w:rPr>
          <w:b/>
        </w:rPr>
        <w:t>E. 4</w:t>
      </w:r>
    </w:p>
    <w:p>
      <w:r>
        <w:t>a) Il résulte des considérants qui précèdent que, bien fondé, le recours doit être admis, et les décisions attaquées, ainsi que celle du conseil communal du 14 septembre 2018 doivent être annulées et que la cause doit être renvoyée à l’autorité communale au sens de ce qui précède. Vu l’issue du litige, les frais seront mis à la charge de E.________ SA qui succombe dans ses conclusions. b) Obtenant gain de cause, les recourants ont par ailleurs droit à des dépens (art. 48 LPJA ) à la charge par moitié de l’autorité communale et par moitié de E.________ SA. En l’absence d’un état des honoraires et des frais, il sera statué sur la base du dossier (art. 64 al. 2 L TFrais par renvoi de l’art. 67 L TFrais ). Tout bien considéré, l'activité déployée peut être estimée à quelque 8 heures. Eu égard au tarif appliqué par la Cour de céans de l'ordre de 280 francs de l'heure (CHF 2’240), des débours à raison de 10 % des honoraires (CHF 224; art. 63 L TFrais par renvoi de l’art. 67 L TFrais s), ainsi que la TVA au taux de 7,7 % (CHF 189.75), c'est un montant global de 2’653.75 francs qui sera alloué aux recourants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