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CDP.2020.320 vom 17. Dezember 2020</w:t>
      </w:r>
    </w:p>
    <w:p>
      <w:r>
        <w:t>NE Tribunal cantonal, 2020-12-17, FR</w:t>
      </w:r>
    </w:p>
    <w:p>
      <w:r>
        <w:rPr>
          <w:b/>
        </w:rPr>
        <w:t xml:space="preserve">Quelle: </w:t>
      </w:r>
      <w:r>
        <w:t>https://mcp.opencaselaw.ch/entscheid/ne_gerichte_CDP.2020.320</w:t>
      </w:r>
    </w:p>
    <w:p>
      <w:r>
        <w:t>FR: NE_GERICHTE CDP.2020.320 du 17 décembre 2020</w:t>
      </w:r>
    </w:p>
    <w:p>
      <w:r>
        <w:t>IT: NE_GERICHTE CDP.2020.320 del 17 dicembre 2020</w:t>
      </w:r>
    </w:p>
    <w:p>
      <w:pPr>
        <w:pStyle w:val="Heading2"/>
      </w:pPr>
      <w:r>
        <w:t>Erwägungen</w:t>
      </w:r>
    </w:p>
    <w:p>
      <w:r>
        <w:rPr>
          <w:b/>
        </w:rPr>
        <w:t>E. 1</w:t>
      </w:r>
    </w:p>
    <w:p>
      <w:r>
        <w:t>Interjeté dans les formes et délai légaux, le recours est recevable.</w:t>
      </w:r>
    </w:p>
    <w:p>
      <w:r>
        <w:rPr>
          <w:b/>
        </w:rPr>
        <w:t>E. 2</w:t>
      </w:r>
    </w:p>
    <w:p>
      <w:r>
        <w:t>a) Le droit d'être entendu est une garantie de nature formelle, ancrée à l'article 29 al. 2 Cst. féd., dont la violation entraîne en principe l'annulation de la décision attaquée, indépendamment des chances de succès du recours sur le fond ( ATF 141 V 495 cons. 2.2, 137 I 195 cons. 2.2, 135 I 279 cons. 2.6.1). Selon la jurisprudence, sa violation peut cependant être réparée lorsque la partie lésée a la possibilité de s'exprimer devant une autorité de recours jouissant d'un plein pouvoir d'examen ( ATF 142 II 218 cons. 2.8.1).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Une réparation de la violation du droit d'être entendu peut également se justifier, même en présence d'un vice grave, lorsque le renvoi constituerait une vaine formalité et aboutirait à un allongement inutile de la procédure ( ATF 137 I 195 cons. 2.3.2; arrêt du TF du 21.07.2014 2C_980/2013 cons. 4.3). Le Tribunal fédéral a eu l'occasion de souligner à plusieurs reprises que la possibilité de guérir une violation du droit d’être entendu ne revêtant pas un caractère de gravité, ne suppose pas que l'autorité de recours ait la compétence d'apprécier l'opportunité de la décision attaquée, mais bien qu'elle dispose d'un pouvoir d'examen complet en fait et en droit ( ATF 145 I 167 cons. 4.4, ATF 137 I 195 cons. 2.3.2; arrêts du TF des 12.05.2020 [8C_257/2019] cons. 5.2, 14.05.2018 [8C_541/2017] cons. 2.5, 15.07.2017 [8C_615/2016] cons. 4.2, du 28.10.2013 [8C_47/2013] cons. 4.2 et les références citées ). La procédure administrative neuchâteloise prévoit que le recours à la Cour de droit public a un effet dévolutif complet et que celle-ci dispose d'un libre pouvoir d'examen en fait et en droit (cf. art. 33 et 39 ss LPJA ), permettant une réparation d'une violation du droit d'être entendu, lorsque la partie lésée a joui de la possibilité de s’exprimer librement devant elle et à condition que l’atteinte à ses droits procéduraux ne revête pas un caractère de gravité. Quoi qu’il en soit, il convient d'examiner le grief de violation du droit d'être entendu avant tout autre ( ATF 135 I 279 cons. 2.6.1; arrêt du TF du 14.06.2012 [5A_278/2012] cons. 4.1). b) Le droit d’être entendu, garanti par l’article 29 al. 2 Cst. féd., sert non seulement à établir correctement les faits, mais constitue un droit indissociable de la personnalité garantissant à un particulier de participer à la prise d’une décision qui touche sa situation juridique (arrêt du TF du 09.02.2016 [8C_176/2015] cons. 2.2). Il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142 II 218 cons. 2.3 et les références citées, 142 III 48 cons. 4.1.1 et les références citées, 141 V 557 cons. 3.1, 135 I 279 cons. 2.3). Il comprend ainsi de nombreux éléments qui ont tous un même but : permettre à l'intéressé de comprendre ce qui se passe et de se défendre. Il se subdivise en deux grands ensembles : le droit à l'information et le droit d'agir pour sa défense en s'exprimant et en participant à l'administration des preuves ( Steffen , Le droit d'être entendu du collaborateur de la fonction publique : juste une question de procédure ?, RJN 2005, p. 55 et 57). En tant que droit de participation, le droit d'être entendu englobe en définitive tous les droits qui doivent être attribués à une partie pour qu'elle puisse faire valoir efficacement son point de vue dans une procédure ( ATF 132 II 485 cons. 3.2, 129 II 497 cons. 2.2 et les références citées). L'étendue du droit de s'exprimer ne peut pas être déterminée de manière générale, mais doit être définie au regard des intérêts concrètement en jeu. Doivent en particulier être prises en considération, d'une part, l'atteinte aux intérêts de l'administré, telle qu'elle résulte de la décision à prendre et, de l'autre, l'importance et l'urgence de l'intervention administrative, l'idée maîtresse étant toutefois qu'il faut permettre à une partie de pouvoir mettre en évidence son point de vue de manière efficace (arrêt du TF du 25.02.2014 [8C_269/2013] cons. 5.2 et les références citées; cf. aussi arrêt du TF du 12.05.2020 [8C_257/2019] cons. 4.2 ). En matière de rapports de travail de droit public, l'employé doit en particulier connaître l'ensemble des faits qui lui sont reprochés et leurs conséquences probables (arrêts du TF des 12.03.2012 [8C_866/2010] cons. 4.1.2 et 02.09.2009 [8C_158/2009] cons. 5.2 et 6.2, publié partiellement in ATF 136 I 39 ). Autrement dit , le droit d'être entendu doit pouvoir être exercé avant que la décision ne soit prise. Cela signifie qu'il faut donner la possibilité au collaborateur d'argumenter et de proposer. En invitant l'employé à se prononcer, il faut clairement lui indiquer l'intention de décision. L’employé ou le fonctionnaire ne présentera en effet probablement pas les mêmes arguments s'il pense qu'il ne va être confronté qu'à des reproches ou s'il sait que des mesures s ont envisagées à son encontre ( Steffen , op. cit., p. 55-56 et 64-65 et les références citées). Ce droit d’être entendu avant que l’autorité compétente ne décide existe tout particulièrement lorsque l’autorité envisage de motiver sa décision par des faits ou des comportements qu’elle reproche au collaborateur ou par des insuffisances qu’elle a constatées chez lui. Celui-ci doit être informé des faits qui lui sont reprochés et avoir la possibilité de les contester, d’en atténuer la portée ou, d’une manière générale, de faire valoir des moyens susceptibles de modifier l’appréciation de l’autorité ( Bovay , Procédure administrative, 2 e éd., 2015, p. 271-272). Le droit d'être entendu devant ainsi par principe s'exercer avant le prononcé de la décision ( ATF 142 II 218 cons. 2.3 p. 222), le collaborateur doit, sauf cas d'urgence, pouvoir disposer de suffisamment de temps pour préparer ses objections. On admet qu'en l'absence de délai uniformisé, un délai de huit à dix jours est raisonnable (arrêts du TF des 14.05.2018 [8C_541/2017] cons. 2.2, 01.03.2018 [8C_301/2017] cons. 3.2 15.07.2017 [8C_615/2016] cons. 3.2.1 et les références citées et 09.02.2016 [8C_176/2015] cons. 2.2; cf. aussi Steffen , op. cit., p. 64 ). Cela vaut tout au moins en présence d'une partie qui est déjà représentée ou qui agit seule. Le délai peut en revanche s'avérer trop court si elle doit choisir un mandataire pendant ce délai (arrêt du TF du 14.05.2018 [8C_541/2017] cons. 2.2) . Enfin, si, en vertu de son droit à l'autodétermination, l'intéressé peut renoncer à l'exercice de son droit, une telle renonciation ne doit pas être admise trop facilement, en admettant un peu rapidement un acte concluant ( ATF 119 Ia 140 , 116 V 32 ; Steffen , op. cit., p 60). c) Le contenu du droit d'être entendu et les modalités de sa mise en œuvre sont déterminés en premier lieu par les dispositions du droit cantonal de procédure. L'article 21 al. 1 LPJA reprend la formulation générale de l'article 29 al. 2 Cst. féd. ; sa portée est identique à celle du droit d'être entendu garantie par cette disposition ( Schaer , Juridiction administrative neuchâteloise, 1995, ad art. 21 LPJA , p. 96 ss) . Les rapports de travail du personnel de NOMAD sont régis par la convention collective de travail CCT Santé 21 (art. 9 al. 1 de la loi cantonale portant constitution d’un établissement de droit public pour le maintien à domicile [ NOMAD – Neuchâtel organise le maintien à domicile ] ) dans sa version de droit public valable pour les années 2017 à 2020. L 'employeur soumis à la CCT Santé 21 de droit public est tenu de respecter les principes constitutionnels régissant l'ensemble de son activité et doit interpréter et appliquer les dispositions de la CCT Santé 21 de droit public à la lumière de ces principes. L'employé a ainsi le droit de s'expliquer avant qu'une décision ne soit prise à son détriment. En particulier, l’article 7.1.3 al. 2 in fine CCT Santé 21 prescrit expressément que l’employeur doit respecter le droit d’être entendu et assisté de ses collaborateurs et l'article 3.2.2 al. 2 CCT Santé 21 stipule que toute résiliation signifiée par l'employeur doit être précédée d'un entretien.</w:t>
      </w:r>
    </w:p>
    <w:p>
      <w:r>
        <w:rPr>
          <w:b/>
        </w:rPr>
        <w:t>E. 3</w:t>
      </w:r>
    </w:p>
    <w:p>
      <w:r>
        <w:t>a) En l’espèce, il ressort du dossier que – consécutivement à l’entretien du 21 avril 2020, lors duquel ont été abordées avec l’une des responsables les questions de la récupération des heures supplémentaires, d’un RDA quotidiennement supérieur à 9 heures et 30 minutes et de la gestion, respectivement, du portefeuille client et du temps de travail de bureau, sans qu’il ne soit fait mention de mesures disciplinaires – la recourante a été convoquée, par courriel du 30 juin 2020 intitulé « entretien avec RCai et RH » et envoyé à 14h01, à une rencontre le lendemain, 1 er juillet 2020, de 8h15 à 9h00, en présence de l’autrice dudit courriel, soit l’une des responsable de centre ad intérim, également responsable de centre adjointe, ainsi que de la responsable de la gestion des ressources humaines. Lors de cet entretien, en lien avec différents reproches formulés à l’encontre de l’intéressée, il lui a été signifié qu’une « sanction disciplinaire » pourrait en « découler ». Se référant à l’entretien du 1 er juillet 2020, l’intimé a, par lettre du 2 juillet 2020, informé sa collaboratrice de son intention de lui adresser un avertissement, au sens de l’article 3.2.2 al. 3 CCT Santé 21 , en raison de constats portant sur le non-respect, respectivement, de la procédure de saisie des RDA, du devoir d'information et du climat de travail, ainsi que sur l’intention de dissimulation d'informations nécessaires à l'organisation des visites aux clients. Un délai au 12 juillet 2020 était fixé à l’intéressée pour s’expliquer sur ces faits; son employeur lui ayant précisé, d’une part, que passé ce délai et sans nouvelles de sa part, l'avertissement serait considéré comme définitif et, d’autre part, que sa prise de position devrait être adressée par « courrier » à la direction des ressources humaine de NOMAD. Cette correspondance, communiquée par recommandé, a été, s elon le relevé « Track &amp; Trace », postée le 3 juillet 2020, l’avis pour son retrait a été communiqué le 6 juillet suivant et il a été distribué au guichet de la poste le samedi 11 juillet 2020. b) Force est de constater que la recourante a été convoquée, au plus tôt, moins d’un jour avant l’entretien du 1 er juillet 2020, selon ses dires, le jour même, soit une heure avant l’entretien, à mesure qu’elle indique avoir été en congé les 29 et 30 juin 2020, et en ne sachant pas sur quoi celui-ci porterait. A tout le moins, l’intitulé du courriel du 30 juin 2020, de même que son contenu, ne lui permettaient pas d’appréhender ce qui serait abordé lors dudit entretien et en particulier qu’il serait fait état d’une « sanction disciplinaire » pouvant « découler » des circonstances avancées à cette occasion. Certes, l’intéressée a été informée, lors de cette rencontre, qu’il lui était reproché des heures supplémentaires s’accumulant sans raison et sans validation par les supérieurs, un non-respect de la planification en date du 10 juin 2020, des temps de déplacement non respectés, des rapports de travail complexes avec le personnel administratif et un irrespect à l’égard des supérieurs, ainsi que des adjonctions apportées au procès-verbal du 21 avril 2020 sans consultation préalable du supérieur. Il apparaît également qu’elle a pu s’exprimer, lors de cet entretien, sur les reproches qui étaient formulés à son encontre, et ce quand bien même elle n’a pas été mise en situation de s’y préparer ou de s’y faire assister. Cela étant, il y a lieu de convenir, au vu de la note d’entretien du 1 er juillet 2020 qui est signée par les trois participants, que des allusions orales à d’éventuelles mesures ( « ML précise la teneur de l’entretien de ce jour qui peut découler sur une sanction disciplinaire ») ne constituent pas une information suffisamment claire quant à l’intention d’adresser un avertissement à la recourante susceptible d’entraîner la non-attribution de l’échelon annuel au sens de l’article 3.2.2 al. 3 CCT Santé 21 et de l’article</w:t>
      </w:r>
    </w:p>
    <w:p>
      <w:r>
        <w:rPr>
          <w:b/>
        </w:rPr>
        <w:t>E. 6</w:t>
      </w:r>
    </w:p>
    <w:p>
      <w:r>
        <w:t>al. 7 de son RRE, soit une mesure appelée à se répercuter, à tout le moins, jusquà la fin des rapports de service. Lavertissement au sens de larticle 3.2.2 al. 3CCT Santé 21, prononcé ici, ne saurait être considéré comme ne revêtant pas une gravité certaine. Force est de plus de convenir que la Cour de céans ne jouit pas dun plein pouvoir de cognition, puisque, conformément à l'article 33 let. a, b et dLPJA, elle examine uniquement si l'autorité a abusé de son pouvoir d'appréciation ou l'a excédé, respectivement, si la constatation faites des faits pertinents est inexacte ou incomplète; elle n'est pas habilitée à contrôler l'opportunité de la décision, aucun texte légal ne lui en donnant la compétence (RJN 2002, p. 230 cons. 2b et les références citées, 1998, p. 209 cons. 3a et les références citées). Or, lavertissement querellé ne soulève pas une pure question de droit ou de fait, ces derniers étant dailleurs davantage contestés quant à lappréciation qui en est fait quen tant que tels. Il sagit donc essentiellement dune question dopportunité. On relèvera à cet égard quil est difficile d'apprécier de l'extérieur si l'on peut reprocher à un collaborateur des prestations insuffisantes ou un comportement incorrect; cela nécessite en effet de tenir compte des circonstances concrètes du travail en cause et des faits qui lui sont reprochés. L'autorité de nomination dispose ainsi d'un large pouvoir d'appréciation pour appliquer ces concepts indéterminés (ATF 118 Ib 164cons. 4a). Selon la jurisprudence (arrêt du Tribunal administratif du 25.02.2004 [TA.2003.364]), et conformément à l'article 33 let. a et dLPJA, la Cour de droit public examine ainsi uniquement si l'autorité a abusé de son pouvoir d'appréciation ou l'a excédé.</w:t>
      </w:r>
    </w:p>
    <w:p>
      <w:r>
        <w:t>Le vice de procédure, que constitue la violation du droit dêtre entendu ici en cause, ne pouvant donc pas être réparé, ilentraîne l'annulation de la décision attaquée, indépendamment des chances de succès du recours sur le fond. Le renvoi pour réparation de ce vice ne peut, quoi quil en soit, pas être considéré comme une vaine formalité, qui aboutirait à un allongement inutile de la procédure.</w:t>
      </w:r>
    </w:p>
    <w:p>
      <w:r>
        <w:t>4.a) Par conséquent et au vu de ce qui précède, il convient d'admettre le recours sans examiner plus avant les autres griefs soulevés par la recourante et dannuler la décision entreprise en renvoyant la cause à NOMAD, qui devra, après avoir accordé un droit d'être entendu dans le sens des considérants ci-dessus, rendre le cas échéant une nouvelle décision.</w:t>
      </w:r>
    </w:p>
    <w:p>
      <w:r>
        <w:t>Dès lors quil est statué au fond, la requête en restitution de leffet suspensif devient sans objet.</w:t>
      </w:r>
    </w:p>
    <w:p>
      <w:r>
        <w:t>b) Selon la pratique en matière de litiges relatifs aux rapports de service, il n'est pas perçu de frais lorsque la valeur litigieuse n'excède pas 30'000 francs. La contestation nétant pas de nature pécuniaire, il y a lieu de statuer sans frais. Vu le sort de la cause,la recourante, assistée par une mandataire professionnelle, a droit à une indemnité de dépens (art. 48LPJA).Celle-ci doit être fixée en fonction du temps nécessaire à la cause, de sa nature, de son importance, de sa difficulté, du résultat obtenu ainsi que de la responsabilité encourue par le représentant (art. 58 al. 2LTFrais, par renvoi de lart. 67LTFrais). MeA.________nayant pas déposé un état de ses honoraires et frais, les dépens seront fixés sur la base du dossier (art. 64 al. 2LTFrais). Lactivité déployée par cette dernière peut être évaluée à quelque 8 heures compte tenu du fait quelle ne représentait pas la recourante dans la procédure ayant mené à la décision querellée. Eu égard au tarif appliqué par la Cour de droit public, de lordre de 280 francs de lheure (CHF 2'240), des débours à raison de 10 % des honoraires (CHF 224) et de la TVA de 7.7 % (CHF 189.70), lindemnité de dépens sera fixée à 2'653.70 francs.</w:t>
      </w:r>
    </w:p>
    <w:p>
      <w:r>
        <w:t>Par ces motifs,la Cour de droit public</w:t>
      </w:r>
    </w:p>
    <w:p>
      <w:r>
        <w:t>1.Admet le recours et annule la décision de NOMAD du 16 juillet 2020 et lui renvoie la cause au sens des considérants.</w:t>
      </w:r>
    </w:p>
    <w:p>
      <w:r>
        <w:t>2.Dit que la demande de restitution de leffet suspensif est sans objet.</w:t>
      </w:r>
    </w:p>
    <w:p>
      <w:r>
        <w:t>3.Statue sans frais.</w:t>
      </w:r>
    </w:p>
    <w:p>
      <w:r>
        <w:t>4.Alloue à la recourante une indemnité de dépens de 2'653.70 francs à la charge de lintimé.</w:t>
      </w:r>
    </w:p>
    <w:p>
      <w:r>
        <w:t>Neuchâtel, 17 décembre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