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CDP.2020.164 vom 17. Juni 2020</w:t>
      </w:r>
    </w:p>
    <w:p>
      <w:r>
        <w:t>NE Tribunal cantonal, 2020-06-17, FR</w:t>
      </w:r>
    </w:p>
    <w:p>
      <w:r>
        <w:rPr>
          <w:b/>
        </w:rPr>
        <w:t xml:space="preserve">Quelle: </w:t>
      </w:r>
      <w:r>
        <w:t>https://mcp.opencaselaw.ch/entscheid/ne_gerichte_CDP.2020.164</w:t>
      </w:r>
    </w:p>
    <w:p>
      <w:r>
        <w:t>FR: NE_GERICHTE CDP.2020.164 du 17 juin 2020</w:t>
      </w:r>
    </w:p>
    <w:p>
      <w:r>
        <w:t>IT: NE_GERICHTE CDP.2020.164 del 17 giugno 2020</w:t>
      </w:r>
    </w:p>
    <w:p>
      <w:pPr>
        <w:pStyle w:val="Heading2"/>
      </w:pPr>
      <w:r>
        <w:t>Erwägungen</w:t>
      </w:r>
    </w:p>
    <w:p>
      <w:r>
        <w:rPr>
          <w:b/>
        </w:rPr>
        <w:t>E. 1</w:t>
      </w:r>
    </w:p>
    <w:p>
      <w:r>
        <w:t>Interjeté dans les formes et délai légaux, le recours est recevable.</w:t>
      </w:r>
    </w:p>
    <w:p>
      <w:r>
        <w:rPr>
          <w:b/>
        </w:rPr>
        <w:t>E. 2</w:t>
      </w:r>
    </w:p>
    <w:p>
      <w:r>
        <w:t>a) Le droit d'être entendu, déduit de l'article 29 al. 2 Cst. féd., est une garantie constitutionnelle de nature formelle dont la violation doit en principe entraîner l'annulation de la décision attaquée indépendamment des chances de succès au fond ( ATF 141 V 495 cons. 2.2, 137 I 195 cons. 2.2, 135 I 279 cons. 2.6, 135 I 187 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142 III 48 cons. 4.1.1 et les arrêts cités). Le droit d’être entendu est à la fois une institution servant à l'instruction de la cause et une faculté de la partie, en rapport avec sa personne, de participer au prononcé de décisions qui lèsent sa situation juridique (arrêt du TF du 19.07.2018 [8C_670/2017] cons. 7.2 et les arrêts cités). En matière de rapports de travail de droit public, le droit d’être entendu implique que l'employé doit connaître l'ensemble des faits qui lui sont reprochés et leurs conséquences probables (arrêts du TF des 12.03.2012 [8C_866/2010] cons. 4.1.2 et 02.09.2009 [8C_158/2009] cons. 5.2 et 6.2, publié partiellement in : ATF 136 I 39 ). b) Le recourant ne conteste pas que la possibilité lui a été donnée de s'expliquer avant qu'une décision de résiliation des rapports de service ne soit prise. C'est par ailleurs en vain que, se fondant sur les certificats médicaux déposés, il allègue ne pas avoir été en mesure de se déterminer sur les intentions de son employeur. En effet, le certificat médical du 13 mai 2020, comme d'ailleurs les précédents, ne permet pas de conclure à une incapacité à se déterminer. Le Dr A.________ atteste qu'il est contre-indiqué que le patient soit confronté à nouveau à sa situation professionnelle et qu'il reprenne le travail à son poste actuel en raison du risque de rechute. On ne saurait en déduire que, représenté par un mandataire professionnel, le recourant ne pouvait se déterminer sur l'intention de résiliation des rapports de service pour cause d'incapacité de travail, ce que démontre d'ailleurs le recours déposé devant la Cour de céans. Ce grief est dès lors mal fondé.</w:t>
      </w:r>
    </w:p>
    <w:p>
      <w:r>
        <w:rPr>
          <w:b/>
        </w:rPr>
        <w:t>E. 3</w:t>
      </w:r>
    </w:p>
    <w:p>
      <w:r>
        <w:t>a) Selon l’article 45 de la loi sur le statut de fonction publique du 28 juin 1995 (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L’avertissement préalable n’est toutefois pas indispensable lorsque de justes motifs de renvoi sont fondés sur le seul intérêt du service (arrêt du TF du 22.08.2012 [8C_369/2012] cons. 4.2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cons. 6b). Les justes motifs de renvoi de fonctionnaires ou d‘employés de l’Etat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Hänni , La fin des rapports de service en droit public, RDAF 1995, p. 421 ss; Knapp , Précis de droit administratif, 1991, no 3155 ss, p. 645 ss nos 31778 ss, p. 648; Poledna , Disziplinarische und administrative Entlassung von Beamten; von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Wyler , Droit du travail, 2006, p. 489 ss; Brühwiler , Kommentar zum Einzelarbeitvertrag, 1996, p. 360-363 et les références; arrêts du TF du 09.10.2006 [2P.149/2006] cons. 6.2 et du 31.08.2005 [2P.163/2005] cons. 5.1). Peuvent être considérées comme justes motifs toutes les circonstances qui, d’après les règles de la bonne foi, font admettre que l’autorité qui nomme ne peut plus continuer les rapports de service (cf. par analogie art. 337 CO). b) L'article 45 al. 2 LSt prévoit qu'aucun renvoi ne peut être prononcé de façon abusive au sens de l'article 336 CO en raison des opinions religieuses, philosophiques ou politiques d'un titulaire de fonction publique ou en raison de ses activités syndicales, dans la mesure où elles n'entraînent pas une violation de ses obligations de service. Selon l'article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n'est pas abusive, à moins notamment que l'incapacité trouve sa cause dans une violation de ses obligations par l'employeur (arrêt du TF du 04.12.2015 [4A_437/2015] 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 20.03.2006 [4C.320/2005] cons. 3.2; Dunand , Commentaire du contrat de travail, 2013, n°30 ad art. 336). c) L’autorité de nomination dispose d’un large pouvoir d’appréciation pour déterminer si des justes motifs de renvoi existent ( ATF 118 Ib 164 cons. 4a, p. 166).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 ATF 108 Ib 209 ; JT 1983 I, p. 332-333; RJN 2007, p. 209 cons. 2b; 1998, p. 207 cons. 3a; 1995, p. 147-8). Selon l’article 33 let. a et d LPJA , la Cour de céans examine uniquement si l’autorité a abusé de son pouvoir d’appréciation ou l’a excédé; elle n’est pas habilitée à contrôler l’opportunité de la décision puisqu’aucun texte légal en matière de statut de la fonction publique ne lui en donne la compétence ( RJN 2007, p. 209 cons. 2b et la référence citée).</w:t>
      </w:r>
    </w:p>
    <w:p>
      <w:r>
        <w:rPr>
          <w:b/>
        </w:rPr>
        <w:t>E. 4</w:t>
      </w:r>
    </w:p>
    <w:p>
      <w:r>
        <w:t>En l'espèce, la résiliation des rapports de service est fondée sur l'absence de longue durée du recourant pour des raisons de maladie, celle-ci s'étendant à plus de 180 jours. Le Conseil d'Etat a considéré que cette absence perturbait le bon fonctionnement du service. En soi, de tels motifs fondés sur l'absence du recourant pour cause de maladie de longue durée ne sont pas abusifs ( ATF 123 III 246 cons. 5 et 107 II 169 ), d'autant plus qu'il n'existe pas en droit neuchâtelois de période de protection contre les congés en temps inopportun au sens de l'article 336c CO pour les titulaires de fonction publique nommés (arrêt de la CDP du 26.07.2017 [CDP.2017.134] cons. 3 et la référence citée). En outre, l'intéressé n'allègue pas que l'incapacité de travail trouverait sa cause dans une violation des obligations de l'employeur. Enfin, il se prévaut à tort de l'article 42 al. 1 LSt selon lequel, en cas d'incapacité totale de travail, les rapports de service prennent fin deux ans après le début de celle-ci. Cette disposition concerne le cas où l'engagement prend fin automatiquement, de lege, à l'expiration d'un délai de deux ans après le début d'une incapacité de travail, mais n'exclut pas une résiliation antérieure des rapports de service entraînant la fin du droit au traitement (art. 29 al. 5 du règlement concernant les traitements de la fonction publique du 09.03.2005 [ RTFP ]). Enfin, le Conseil d'Etat n'a pas abusé de son pouvoir d'appréciation en déduisant de la longue absence de son collaborateur qu'il ne pourrait pas réintégrer son poste de travail dans un avenir proche et que la bonne marche du service est menacée, le recourant occupant un poste de chef au sein du service Le certificat médical du Dr A.________ du 13 mai 2020, outre qu'il n'est pas motivé, atteste d'une reprise des activités professionnelles à court/moyen terme à un poste adapté. Il ne permet dès lors pas de retenir que son patient pourra réintégrer son poste de travail dans un avenir proche, ce d'autant plus qu'il fait mention d'un poste adapté, indiquant ensuite que le poste de travail actuel est contre-indiqué. Dans ces circonstances, et ne remettant pas en cause l'incapacité de travail, on ne saurait reprocher à l'intimé de ne pas avoir désigné un médecin pour examiner l'intéressé.</w:t>
      </w:r>
    </w:p>
    <w:p>
      <w:r>
        <w:rPr>
          <w:b/>
        </w:rPr>
        <w:t>E. 5</w:t>
      </w:r>
    </w:p>
    <w:p>
      <w:r>
        <w:t>Compte tenu de ce qui précède, le recours est mal fondé. Selon la pratique en matière de litiges relatifs aux rapports de service, il n'est pas perçu de frais lorsque la valeur litigieuse n'excède pas 30'000 francs. Le recourant ayant conclu à la continuation des rapports de travail, la valeur litigieuse porte sur plusieurs mois voire plusieurs années de salaire (arrêt du TF du 13.05.2015 [8C_286/2014] cons. 1); elle dépasse donc largement 30'000 francs, de sorte qu'il y a lieu de percevoir des frais. Vu le sort de la cause, ceux-ci doivent être mis à la charge du recourant qui succombe (art. 47 LPJA ), lequel n'a en outre pas droit à une allocation de dépens (art. 48 LPJA a contrario).</w:t>
      </w:r>
    </w:p>
    <w:p>
      <w:r>
        <w:rPr>
          <w:b/>
        </w:rPr>
        <w:t>E. 29</w:t>
      </w:r>
    </w:p>
    <w:p>
      <w:r>
        <w:t>al. 2 Cst. féd., est une garantie constitutionnelle de nature formelle dont la violation doit en principe entraîner l'annulation de la décision attaquée indépendamment des chances de succès au fond (ATF 141 V 495cons. 2.2,137 I 195cons. 2.2,135 I 279cons. 2.6,135 I 187cons.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142 III 48cons. 4.1.1 et les arrêts cités). Le droit dêtre entendu est à la fois une institution servant à l'instruction de la cause et une faculté de la partie, en rapport avec sa personne, de participer au prononcé de décisions qui lèsent sa situation juridique (arrêt du TF du19.07.2018 [8C_670/2017]cons. 7.2 et les arrêts cités). En matière de rapports de travail de droit public, le droit dêtre entendu implique que l'employé doit connaître l'ensemble des faits qui lui sont reprochés et leurs conséquences probables (arrêts du TF des12.03.2012 [8C_866/2010]cons. 4.1.2 et02.09.2009 [8C_158/2009]cons. 5.2 et 6.2, publié partiellement in :ATF 136 I 39).</w:t>
      </w:r>
    </w:p>
    <w:p>
      <w:r>
        <w:t>b) Le recourant ne conteste pas que la possibilité lui a été donnée de s'expliquer avant qu'une décision de résiliation des rapports de service ne soit prise. C'est par ailleurs en vain que, se fondant sur les certificats médicaux déposés, il allègue ne pas avoir été en mesure de se déterminer sur les intentions de son employeur. En effet, le certificat médical du 13 mai 2020, comme d'ailleurs les précédents, ne permet pas de conclure à une incapacité à se déterminer. Le Dr A.________ atteste qu'il est contre-indiqué que le patient soit confronté à nouveau à sa situation professionnelle et qu'il reprenne le travail à son poste actuel en raison du risque de rechute. On ne saurait en déduire que, représenté par un mandataire professionnel, le recourant ne pouvait se déterminer sur l'intention de résiliation des rapports de service pour cause d'incapacité de travail, ce que démontre d'ailleurs le recours déposé devant la Cour de céans. Ce grief est dès lors mal fondé.</w:t>
      </w:r>
    </w:p>
    <w:p>
      <w:r>
        <w:t>3.a) Selon larticle 45 de la loi sur le statut de fonction publique du 28 juin 1995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Lavertissement préalable nest toutefois pas indispensable lorsque de justes motifs de renvoi sont fondés sur le seul intérêt du service (arrêt du TF du22.08.2012 [8C_369/2012]cons. 4.2 et la référence citée).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(RJN 1997, p. 218cons. 6b).</w:t>
      </w:r>
    </w:p>
    <w:p>
      <w:r>
        <w:t>Les justes motifs de renvoi de fonctionnaires ou demployés de lEtat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particulièrement:Hänni, La fin des rapports de service en droit public, RDAF 1995, p. 421 ss;Knapp, Précis de droit administratif, 1991, no 3155 ss, p. 645 ss nos 31778 ss, p. 648;Poledna, Disziplinarische und administrative Entlassung von Beamten; von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privéWyler, Droit du travail, 2006, p. 489 ss;Brühwiler, Kommentar zum Einzelarbeitvertrag, 1996, p. 360-363 et les références; arrêts du TF du09.10.2006 [2P.149/2006]cons. 6.2 et du31.08.2005 [2P.163/2005]cons. 5.1). Peuvent être considérées comme justes motifs toutes les circonstances qui, daprès les règles de la bonne foi, font admettre que lautorité qui nomme ne peut plus continuer les rapports de service (cf. par analogie art. 337 CO).</w:t>
      </w:r>
    </w:p>
    <w:p>
      <w:r>
        <w:t>b) L'article 45 al. 2LStprévoit qu'aucun renvoi ne peut être prononcé de façon abusive au sens de l'article 336 CO en raison des opinions religieuses, philosophiques ou politiques d'un titulaire de fonction publique ou en raison de ses activités syndicales, dans la mesure où elles n'entraînent pas une violation de ses obligations de service. Selon l'article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Toutefois, si elle porte atteinte à la capacité de travail, la maladie n'est pas considérée comme une cause abusive de résiliation. Ainsi, la résiliation des rapports de travail en raison d'une incapacité prolongée n'est pas abusive, à moins notamment que l'incapacité trouve sa cause dans une violation de ses obligations par l'employeur (arrêt du TF du04.12.2015 [4A_437/2015]cons. 2.2.2 et les références citées). La résiliation du contrat de travail dun employé qui a été harcelé sera considérée comme abusive lorsque le mobbing a provoqué chez le travailleur une baisse de rendement ou une période de maladie dont lemployeur se prévaut lors de la résiliation (arrêt du TF du20.03.2006 [4C.320/2005]cons. 3.2;Dunand, Commentaire du contrat de travail, 2013, n°30 ad art. 336).</w:t>
      </w:r>
    </w:p>
    <w:p>
      <w:r>
        <w:t>c) Lautorité de nomination dispose dun large pouvoir dappréciation pour déterminer si des justes motifs de renvoi existent (ATF 118 Ib 164cons. 4a, p. 166).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JT 1983 I, p. 332-333;RJN 2007, p. 209cons. 2b;1998, p. 207cons. 3a; 1995, p. 147-8). Selon larticle 33 let. a et dLPJA, la Cour de céans examine uniquement si lautorité a abusé de son pouvoir dappréciation ou la excédé; elle nest pas habilitée à contrôler lopportunité de la décision puisquaucun texte légal en matière de statut de la fonction publique ne lui en donne la compétence (RJN 2007, p. 209cons. 2b et la référence citée).</w:t>
      </w:r>
    </w:p>
    <w:p>
      <w:r>
        <w:t>4.En l'espèce, la résiliation des rapports de service est fondée sur l'absence de longue durée du recourant pour des raisons de maladie, celle-ci s'étendant à plus de 180 jours. Le Conseil d'Etat a considéré que cette absence perturbait le bon fonctionnement du service. En soi, de tels motifs fondés sur l'absence du recourant pour cause de maladie de longue durée ne sont pas abusifs (ATF 123 III 246cons. 5 et107 II 169), d'autant plus qu'il n'existe pas en droit neuchâtelois de période de protection contre les congés en temps inopportun au sens de l'article 336c CO pour les titulaires de fonction publique nommés (arrêt de la CDP du 26.07.2017 [CDP.2017.134] cons. 3 et la référence citée). En outre, l'intéressé n'allègue pas que l'incapacité de travail trouverait sa cause dans une violation des obligations de l'employeur. Enfin, il se prévaut à tort de l'article 42 al. 1LStselon lequel, en cas d'incapacité totale de travail, les rapports de service prennent fin deux ans après le début de celle-ci. Cette disposition concerne le cas où l'engagement prend fin automatiquement, de lege, à l'expiration d'un délai de deux ans après le début d'une incapacité de travail, mais n'exclut pas une résiliation antérieure des rapports de service entraînant la fin du droit au traitement (art. 29 al. 5 du règlement concernant les traitements de la fonction publique du 09.03.2005 [RTFP]). Enfin, le Conseil d'Etat n'a pas abusé de son pouvoir d'appréciation en déduisant de la longue absence de son collaborateur qu'il ne pourrait pas réintégrer son poste de travail dans un avenir proche et que la bonne marche du service est menacée, le recourant occupant un poste de chef au sein du service Le certificat médical du Dr A.________ du 13 mai 2020, outre qu'il n'est pas motivé, atteste d'une reprise des activités professionnelles à court/moyen terme à un poste adapté. Il ne permet dès lors pas de retenir que son patient pourra réintégrer son poste de travail dans un avenir proche, ce d'autant plus qu'il fait mention d'un poste adapté, indiquant ensuite que le poste de travail actuel est contre-indiqué. Dans ces circonstances, et ne remettant pas en cause l'incapacité de travail, on ne saurait reprocher à l'intimé de ne pas avoir désigné un médecin pour examiner l'intéressé.</w:t>
      </w:r>
    </w:p>
    <w:p>
      <w:r>
        <w:t>5.Compte tenu de ce qui précède, le recours est mal fondé.Selon la pratique en matière de litiges relatifs aux rapports de service, il n'est pas perçu de frais lorsque la valeur litigieuse n'excède pas 30'000 francs. Le recourant ayant conclu à la continuation des rapports de travail, la valeur litigieuse porte sur plusieurs mois voire plusieurs années de salaire (arrêt du TF du13.05.2015 [8C_286/2014]cons. 1); elle dépasse donc largement 30'000 francs, de sorte qu'il y a lieu de percevoir des frais.Vu le sort de la cause, ceux-ci doivent être mis à la charge du recourant qui succombe (art. 47LPJA), lequel n'a en outre pas droit à une allocation de dépens (art. 48LPJAa contrario).</w:t>
      </w:r>
    </w:p>
    <w:p>
      <w:r>
        <w:t>Par ces motifs,la Cour de droit public</w:t>
      </w:r>
    </w:p>
    <w:p>
      <w:r>
        <w:t>1.Rejette le recours.</w:t>
      </w:r>
    </w:p>
    <w:p>
      <w:r>
        <w:t>2.Met à charge de X.________ les frais de la procédure.</w:t>
      </w:r>
    </w:p>
    <w:p>
      <w:r>
        <w:t>3.N'alloue pas de dépens.</w:t>
      </w:r>
    </w:p>
    <w:p>
      <w:r>
        <w:t>Neuchâtel, le 17 juin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