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CDP.2019.81 vom 30. August 2019</w:t>
      </w:r>
    </w:p>
    <w:p>
      <w:r>
        <w:t>NE Tribunal cantonal, 2019-08-30, FR</w:t>
      </w:r>
    </w:p>
    <w:p>
      <w:r>
        <w:rPr>
          <w:b/>
        </w:rPr>
        <w:t xml:space="preserve">Quelle: </w:t>
      </w:r>
      <w:r>
        <w:t>https://mcp.opencaselaw.ch/entscheid/ne_gerichte_CDP.2019.81</w:t>
      </w:r>
    </w:p>
    <w:p>
      <w:r>
        <w:t>FR: NE_GERICHTE CDP.2019.81 du 30 août 2019</w:t>
      </w:r>
    </w:p>
    <w:p>
      <w:r>
        <w:t>IT: NE_GERICHTE CDP.2019.81 del 30 agosto 2019</w:t>
      </w:r>
    </w:p>
    <w:p>
      <w:pPr>
        <w:pStyle w:val="Heading2"/>
      </w:pPr>
      <w:r>
        <w:t>Erwägungen</w:t>
      </w:r>
    </w:p>
    <w:p>
      <w:r>
        <w:rPr>
          <w:b/>
        </w:rPr>
        <w:t>E. 1</w:t>
      </w:r>
    </w:p>
    <w:p>
      <w:r>
        <w:t>Interjeté dans les formes et délai légaux, le recours est recevable.</w:t>
      </w:r>
    </w:p>
    <w:p>
      <w:r>
        <w:rPr>
          <w:b/>
        </w:rPr>
        <w:t>E. 2</w:t>
      </w:r>
    </w:p>
    <w:p>
      <w:r>
        <w:t>a) En vertu d’un principe applicable dans la procédure administrative en général, l'autorité à laquelle une affaire est renvoyée est tenue de fonder sa nouvelle décision sur les considérants de droit de la décision ou de l'arrêt de renvoi; son pouvoir d'examen est limité par les motifs de ce prononcé, en ce sens qu'elle est liée par ce qui a déjà été jugé définitivement par l’autorité de recours, ainsi que par les constatations de fait qui n'ont pas été critiquées devant celle-ci; des faits nouveaux importants, qui existaient déjà avant l'arrêt de renvoi mais sont découverts subséquemment (faux nova), peuvent rompre l'autorité attachée à ce prononcé (arrêts du TF du 25.06.2013 [9C_340/2013] cons. 3.1 et du 03.08.2012 [8C_152/2012] cons. 4.1 et 4.2). Toutefois, ils ne peuvent être pris en considération que sur les points qui ont fait l'objet du renvoi, lesquels ne peuvent être ni étendus, ni fixés sur une base juridique nouvelle ( ATF 131 III 91 cons. 5.2 et les références). Saisi d'un recours contre la nouvelle décision, l’autorité de recours est aussi liée par sa décision de renvoi; elle ne saurait, à l'occasion d'un recours subséquent, se fonder sur les motifs qu’elle avait écartés ou qu'elle n'avait pas eu à examiner, faute pour les parties de les avoir invoqués dans la précédente procédure de recours, alors qu'elles pouvaient – et devaient – le faire ( ATF 143 IV 214 cons. 5.2.1 et 5.3.3; 135 III 334 cons. 2; 133 III 201 cons. 4.2; cf. aussi arrêts du TF des 19.03.2019 [6B_236/2019] cons. 3.1; 21.04.2017 [8C_388/2016] cons. 1.2; 28.04.2016 [5A_988/2015] cons. 1.2; 08.02.2016 [5A_785/2015] cons. 2; et 17.07.2015 [9C_53/2015] cons. 2.1 et les références). b) Dans son arrêt du 14 novembre 2018 , la Cour de droit public a considéré qu’en résiliant son engagement à 50 % auprès de B.________ SA pour augmenter, à partir du 1 er décembre 2017, à 60 % l’activité qu’elle exerçait parallèlement auprès de A.________ AG à 20 %, la recourante avait sacrifié 10 % d’activité. Pour déterminer si ce comportement était sanctionnable, encore fallait-il qu’il ait causé un dommage à l’assurance-chômage, c’est-à-dire que le gain intermédiaire mensuel moyen réalisé à 70 % (B.________ SA [50 %] et A.________ AG [20 %]) soit supérieur à celui réalisé à 60 % auprès de A.________ AG, après l’abandon de l’emploi chez B.________ SA. Sur la base du dossier, la Cour de céans avait retenu que durant la période où elle avait travaillé globalement à 70 %, toutes activités confondues, à savoir du 1 er janvier au 30 novembre 2017 (11 mois), l’assurée avait réalisé un gain intermédiaire mensuel moyen de 3'063 francs. Faute d’éléments au dossier permettant de déterminer de manière satisfaisante le gain intermédiaire mensuel moyen tiré de l’activité à 60 % auprès de A.________ AG depuis le mois de décembre 2017, la cause avait en revanche été renvoyée à la CCNAC afin qu’elle établisse ce gain en se fondant, par souci de concordance, sur les gains réalisés durant les onze premiers mois de cette activité, à savoir du mois de décembre 2017 au mois d’octobre 2018. c) En l’espèce, en établissant que, durant cette période, l’assurée avait réalisé un gain intermédiaire mensuel moyen de 2'772.65 francs, la CCNAC s’est conformée à l’arrêt de renvoi. Non seulement l’intéressée n’en disconvient pas, mais surtout elle ne remet pas en cause le calcul effectué. Elle critique en revanche celui ayant abouti à fixer à 3'063 francs le gain intermédiaire mensuel moyen qu’elle avait réalisé durant les onze mois précédant le terme de son engagement chez B.________ SA. A tort. Car ce montant, qui a été définitivement arrêté dans l’arrêt de la Cour de droit public du 14 novembre 2018 et qui ne faisait pas l’objet du renvoi à l’intimée, liait celle-ci au moment où elle a statué à nouveau et lie l’Autorité de céans au moment de se prononcer sur le nouveau recours de l’assurée, de sorte qu'à supposer nouveaux, les faits invoqués par la recourante en lien avec ce gain ne pourraient quoi qu’il en soit pas être pris en considération. d) Au vu de ce qui précède, il n’est pas contestable qu’en résiliant son engagement à 50 % (taux fixe) auprès de B.________ SA pour augmenter l’emploi qu’elle exerçait parallèlement chez A.________ AG de 20 % à 60 % (taux variables), l’assurée a causé un préjudice à l’assurance-chômage. En prononçant, pour ce motif, une suspension de son droit à l’indemnité de chômage de 31 jours, soit la durée minimum prévue pour les cas de faute grave, la CCNAC n’a pas fait un usage critiquable de son pouvoir d’appréciation.</w:t>
      </w:r>
    </w:p>
    <w:p>
      <w:r>
        <w:rPr>
          <w:b/>
        </w:rPr>
        <w:t>E. 3</w:t>
      </w:r>
    </w:p>
    <w:p>
      <w:r>
        <w:t>Mal fondé, le recours doit être rejeté. La procédure étant en principe gratuite (art. 61 let. a LPGA), il est statué sans frais, et sans dépens v u l'issue du litige (art. 61 let. g LPGA a contrario).</w:t>
      </w:r>
    </w:p>
    <w:p>
      <w:r>
        <w:rPr>
          <w:b/>
        </w:rPr>
        <w:t>E. 20</w:t>
      </w:r>
    </w:p>
    <w:p>
      <w:r>
        <w:t>% à 60 % (taux variables), lassurée a causé un préjudice à lassurance-chômage. En prononçant, pour ce motif, une suspension de son droit à lindemnité de chômage de 31 jours, soit la durée minimum prévue pour les cas de faute grave, la CCNAC na pas fait un usage critiquable de son pouvoir dappréciation.</w:t>
      </w:r>
    </w:p>
    <w:p>
      <w:r>
        <w:t>3.Mal fondé, le recours doit être rejeté. La procédure étant en principe gratuite (art. 61 let. a LPGA), il est statué sans frais, et sans dépens vu l'issue du litige (art. 61 let. g LPGA a contrario).</w:t>
      </w:r>
    </w:p>
    <w:p>
      <w:r>
        <w:t>Par ces motifs,la Cour de droit public</w:t>
      </w:r>
    </w:p>
    <w:p>
      <w:r>
        <w:t>1.Rejette le recours.</w:t>
      </w:r>
    </w:p>
    <w:p>
      <w:r>
        <w:t>2.Statue sans frais et sans dépens.</w:t>
      </w:r>
    </w:p>
    <w:p>
      <w:r>
        <w:t>Neuchâtel, le 30 août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