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CDP.2019.209 vom 17. Dezember 2019</w:t>
      </w:r>
    </w:p>
    <w:p>
      <w:r>
        <w:t>NE Tribunal cantonal, 2019-12-17, FR</w:t>
      </w:r>
    </w:p>
    <w:p>
      <w:r>
        <w:rPr>
          <w:b/>
        </w:rPr>
        <w:t xml:space="preserve">Quelle: </w:t>
      </w:r>
      <w:r>
        <w:t>https://mcp.opencaselaw.ch/entscheid/ne_gerichte_CDP.2019.209</w:t>
      </w:r>
    </w:p>
    <w:p>
      <w:r>
        <w:t>FR: NE_GERICHTE CDP.2019.209 du 17 décembre 2019</w:t>
      </w:r>
    </w:p>
    <w:p>
      <w:r>
        <w:t>IT: NE_GERICHTE CDP.2019.209 del 17 dicembre 2019</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 RJN 2011, p. 457 ; RJN 2009, p. 395 ). Cet examen porte en particulier sur le point de savoir si le droit d'être entendu a été respecté, la violation de ce principe fondamental pouvant entraîner l'annulation de la décision attaquée (arrêt de la CDP du 18.02.2016 [ 2014.338 ] cons. 2a). b) Selon l'article 23 al. 1 2 e phrase LCR ,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 2 de la Constitution fédérale de la Confédération suisse (Cst. féd.) ( ATF 122 II 464 cons. 4). Tel qu'il est garanti à l'article 29 al. 2 Cst. féd.,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287 cons. 5.1 et les références). Il a pour corollaire que l'autorité, avant de rendre une décision touchant la situation juridique d'une partie, doit en informer cette dernière et lui donner l'occasion de s'exprimer préalablement sur le sujet ( ATF 126 V 130 cons. 2b; arrêt du TF du 20.08.2013 [9C_181/2013] cons. 3.3).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c) En l’espèce, la Cour de céans constate que le droit d’être entendu du recourant a été violé. Certes, lorsqu’il est établi que les conditions légales de la délivrance du permis de conduire ne sont plus remplies, le retrait de sécurité s’impose sans délai ( ATF 133 II 331 cons. 3.1). Cependant, comme le rappelle l’article 23 al. 1 2 e phrase LCR , en matière de retrait de permis de conduire, le droit d’être entendu doit être respecté sauf en cas d’urgence. Hormis le fait que l’inaptitude n’est en l’occurrence pas établie (cf. cons. 3), une telle situation n’est mentionnée ni dans la décision litigieuse ni dans le courrier du 26 février 2019 invitant l’intéressé à déposer le permis de conduire. Cela étant, le recourant, représenté par un mandataire professionnel, ne se plaint pas de ce vice et a eu la possibilité de faire valoir ses arguments devant une autorité supérieure jouissant d’un plein pouvoir d’examen sur la question litigieuse, qui relève des faits et du droit. Le recourant a par ailleurs été implicitement averti par courrier du 26 février 2019 qu’un retrait de permis pouvait être prononcé, si bien que l’atteinte portée à son droit d’être entendu n’est pas d’une gravité particulière. On peut donc admettre que la violation est réparée. La Cour de céans invite toutefois l’intimé à dûment respecter les droits des administrés.</w:t>
      </w:r>
    </w:p>
    <w:p>
      <w:r>
        <w:rPr>
          <w:b/>
        </w:rPr>
        <w:t>E. 3</w:t>
      </w:r>
    </w:p>
    <w:p>
      <w:r>
        <w:t>a) Tout conducteur de véhicule automobile doit posséder l'aptitude et les qualifications nécessaires à la conduite (art. 14 al. 1 LCR ). Ainsi,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 Le permis d'élève conducteur ou le permis de conduire est retiré pour une durée indéterminée à la personne dont les aptitudes physiques et psychiques ne lui permettent pas ou plus de conduire avec sûre té un véhicule automobile (art. 16d al. 1 let. a LCR ).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(art. 17 al. 3 L CR ). L'article 25 al. 3 let. a LCR délègue au Conseil fédéral la compétence d'édicter les exigences minimales auxquelles doivent satisfaire les conducteurs de véhicules automobiles quant à leurs aptitudes physiques et psychiques. Ces exigences médicales requises pour la conduite des véhicules des différents groupes sont définies à l'annexe 1 de l'OAC (arrêt du TF du 16.04.2014 [1C_840/2013] cons. 2.1). Pour les chauffeurs professionnels, l e chiffre 9 de cette annexe, concernant les maladies des organes respiratoires et abdominaux , exige l’absence de maladies entraînant une somnolence diurne accrue et d'autres troubles ou réductions ayant des effets sur l'aptitude à conduire avec sûreté un véhicule automobile ou diminuant les moyens propres à la conduite de l'intéressé . b) La décision de retrait de sécurité du permis pour cause d'inaptitude à la conduite au sens de l'article 16d al. 1 let. a LCR constitue une atteinte grave à la personnalité et à la sphère privée de l'intéressé et elle doit donc reposer sur une instruction précise des circonstances déterminantes ( ATF 139 II 95 cons. 3.4.1). L'autorité compétente doit, avant d'ordonner un tel retrait, éclaircir d'office la situation de la personne concernée ( ATF 142 IV 49 cons. 2.1.3, 140 II 334 cons. 3). L'étendue des examens officiels nécessaires, notamment l'opportunité d'une expertise médicale, dépend des particularités du cas d'espèce et relève du pouvoir d'appréciation des autorités cantonales compétentes ( ATF 129 II 82 cons. 2.2; arrêt du TF du 16.04.2014 [1C_840/2013 ] cons. 2.1). En cas de doute sur l'aptitude d'un automobiliste, l'autorité doit éclaircir d'office la situation de la personne concernée. Elle dispose certes d'un large pouvoir d'appréciation concernant l'étendue des examens nécessaires eu égard à la maladie dont souffre l'intéressé. Elle ne peut cependant renoncer à un examen médical circonstancié qu'en cas d'inaptitude manifeste à la conduite (arrêt du TF du 16.04.2014 [1C_840/2013] cons. 2.2 et les références) . c) Selon l' article 30 OAC ,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 ATF 125 II 492 cons. 2b; arrêt du TF du 04.07.2018 [1C_154/2018] cons. 4.2).</w:t>
      </w:r>
    </w:p>
    <w:p>
      <w:r>
        <w:rPr>
          <w:b/>
        </w:rPr>
        <w:t>E. 4</w:t>
      </w:r>
    </w:p>
    <w:p>
      <w:r>
        <w:t>a) Contrairement à ce que semble indiquer le département (p. 8), en matière de retrait de sécurité, est décisive la question de savoir si une inaptitude à la conduite est établie – et non l’aptitude – (cf. cons. 3c). Il s’agit donc en l’occurrence d’examiner s’il est établi que le recourant est inapte à conduire des véhicules des catégories du groupe II et, plus particulièrement, s’il souffre d’ une maladie entraînant une somnolence diurne accrue ayant des effets sur l'aptitude à conduire avec sûreté un véhicule automobile ou diminuant les moyens propres à la conduite de l'intéressé au sens du chiffre 9 de l’annexe 1 de l’OAC . b) En l’espèce, comme relevé par le Dr B.________ dans son courrier du 14 février 2019, le fait que le recourant ait présenté trois endormissements en moins de 34 minutes impliquait qu’il ne remplissait pas les critères médicaux des recommandations de la Société suisse de médecine du sommeil (recte : de la Commission des transports de la SSRSMSC) relatifs aux véhicules des catégories du groupe II. S’agissant desdits critères, les recommandations concernant l’aptitude à la conduite en cas de somnolence diurne indiquent en effet que chez les chauffeurs professionnels, le sommeil ne devrait jamais se manifester avec une latence &lt; 34 minutes lors des quatre tests du TME. Elles ajoutent toutefois qu’en cas d’épisodes de micro-sommeil dans les 34 premières minutes ou en cas de résultats limites, il est conseillé de renouveler le TME destiné à évaluer l’aptitude à la conduite quelques mois après l’optimisation du traitement et de l’hygiène du sommeil (p. 445) . Celles-ci précisent également qu’a fin d’évaluer l’aptitude à la conduite de manière définitive et à long terme, il convient de procéder au TME/MWT alors que le patient reçoit un traitement optimal. Tout comme pour les directives de la SSED concernant l'aptitude et la capacité à conduire lors de diabète sucré ( arrêt du TF du 16.04.2014 [1C_840/2013] cons. 2.2) , les recommandations de la Commission des transports de la SSRSMSC , qui reflètent l'avis des spécialistes quant aux exigences médicales requises selon la législation pour conduire les différentes catégories de véhicules en cas de somnolence diurne, n’ont pas force de loi et l'autorité administrative ne peut se contenter d’une application schématique. F orce est de constater qu’en date de la décision litigieuse, les éléments au dossier ne permettaient pas de considérer que les endormissements du recourant pendant le TME résultaient d’une maladie des organes respiratoires et abdominaux au sens du chiffre 9 de l'annexe 1 de l'OAC . Dans son courrier du 14 février 2019, l e Dr B.________ avait en effet spécifié que la compliance au traitement du SAS était bonne, qu’il existait un bénéfice subjectif clair, avec un sommeil de meilleure qualité ainsi qu’une régression de la fatigue et de la somnolence, et avait réservé la possibilité que la fatigue résulte d’une anémie, d'une carence ferrique, d’une dysthyroïdie, d’un syndrome de jambes sans repos, voire d’une dette de sommeil, si bien qu’il proposait donc des investigations complémentaires. Compte tenu de ces observations, le test TME ne permet pas d’inférer à lui seul qu’il existe un motif médical figurant dans la liste de l’annexe 1 OAC. Une inaptitude pour cette raison n’étant pas établie, en prononçant un retrait de sécurité à ce stade de l’instruction, l’intimé a violé le droit . La mesure de retrait de sécurité prononcée par le SCAN doit donc être annulée. c) Cela étant, quoi qu’en dise le recourant, il existe des doutes quant à son aptitude actuelle à la conduite en qualité de chauffeur professionnel. Le TME met en évidence trois endormissements ‑ au demeurant non qualifiés par le Dr B.________ de micro-sommeils ‑ en moins de 34 minutes sur quatre tests du TME, alors que les recommandations médicales considèrent, pour les chauffeurs professionnels, qu’aucun endormissement ne devrait être admis sur quatre tests. Par ailleurs, s’il conforte sur le caractère remédiable à brève ou moyenne échéance des causes de la possible inaptitude, le nouvel examen polysomnographique effectué le 11 mars 2019 fait en revanche accroître les doutes à émettre quant à l’aptitude. Ses résultats montrent en effet que les causes de la fatigue pourraient au moins en partie être attribuées à une maladie des organes respiratoires et abdominaux au sens du chiffre</w:t>
      </w:r>
    </w:p>
    <w:p>
      <w:r>
        <w:rPr>
          <w:b/>
        </w:rPr>
        <w:t>E. 9</w:t>
      </w:r>
    </w:p>
    <w:p>
      <w:r>
        <w:t>Maladies des organes respiratoires et abdominaux</w:t>
      </w:r>
    </w:p>
    <w:p>
      <w:r>
        <w:t>Pas de maladies entraînant une somnolence diurne accrue ni dautres troubles ou réductions ayant des effets sur laptitude à conduire avec sûreté un véhicule automobile.</w:t>
      </w:r>
    </w:p>
    <w:p>
      <w:r>
        <w:t>Pas de maladies entraînant une somnolence diurne accrue ni dautres troubles ou réductions ayant des effets sur laptitude à conduire avec sûreté un véhicule automobile ou diminuant les moyens propres à la conduite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