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CDP.2018.293 vom 23. Oktober 2018</w:t>
      </w:r>
    </w:p>
    <w:p>
      <w:r>
        <w:t>NE Tribunal cantonal, 2018-10-23, FR</w:t>
      </w:r>
    </w:p>
    <w:p>
      <w:r>
        <w:rPr>
          <w:b/>
        </w:rPr>
        <w:t xml:space="preserve">Quelle: </w:t>
      </w:r>
      <w:r>
        <w:t>https://mcp.opencaselaw.ch/entscheid/ne_gerichte_CDP.2018.293</w:t>
      </w:r>
    </w:p>
    <w:p>
      <w:r>
        <w:t>FR: NE_GERICHTE CDP.2018.293 du 23 octobre 2018</w:t>
      </w:r>
    </w:p>
    <w:p>
      <w:r>
        <w:t>IT: NE_GERICHTE CDP.2018.293 del 23 ottobre 2018</w:t>
      </w:r>
    </w:p>
    <w:p>
      <w:pPr>
        <w:pStyle w:val="Heading2"/>
      </w:pPr>
      <w:r>
        <w:t>Erwägungen</w:t>
      </w:r>
    </w:p>
    <w:p>
      <w:r>
        <w:rPr>
          <w:b/>
        </w:rPr>
        <w:t>E. 1</w:t>
      </w:r>
    </w:p>
    <w:p>
      <w:r>
        <w:t>Interjeté dans les formes et délai légaux, le recours est recevable.</w:t>
      </w:r>
    </w:p>
    <w:p>
      <w:r>
        <w:rPr>
          <w:b/>
        </w:rPr>
        <w:t>E. 2</w:t>
      </w:r>
    </w:p>
    <w:p>
      <w:r>
        <w:t>a) Selon l'article 45 de la loi sur le statut de la fonction publique du 28 juin 1995 (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 ATF 125 I 122 cons. 2 in fine; RJN 2004, p. 125 ). Selon la jurisprudence, de justes motifs de renvoi peuvent être motivés par le seul intérêt du service (arrêt du TF du 22.08.2012 [8C_369/2012] cons. 4.2 et la référence citée; arrêt du TF du 29.05.2015 [8C_585/2014] cons. 7.6.2).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c)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Les justes motifs de renvoi de fonctionnaires ou d'employés de l'Etat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4e éd., 1991, nos 3155 ss, p. 645 ss, nos 3177 ss, p. 648;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2e éd., 2006, p. 489 ss; Brühwiler , Kommentar zum Einzelarbeitvertrag, 2e éd.,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d) Il est difficile d'apprécier de l'extérieur si l'on peut reprocher à un fonctionnaire des prestations insuffisantes ou un comportement incorrect; cela nécessite en effet de tenir compte des circonstances concrètes du travail en cause et des faits qui sont reprochés à l'intéressé. L'autorité de nomination dispose ainsi d'un large pouvoir d'appréciation pour appliquer ces concepts indéterminés ( ATF 118 Ib 164 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céans examine uniquement si l'autorité a abusé de son pouvoir d'appréciation ou l'a excédé; elle n'est pas habilitée à contrôler l'opportunité de la décision puisque aucun texte légal ne lui en donne la compétence ( RJN 2007, p. 209 cons. 2b et la référence citée).</w:t>
      </w:r>
    </w:p>
    <w:p>
      <w:r>
        <w:rPr>
          <w:b/>
        </w:rPr>
        <w:t>E. 3</w:t>
      </w:r>
    </w:p>
    <w:p>
      <w:r>
        <w:t>En l’espèce, la question de savoir si l’existence de dettes peut constituer à elle seule un juste motif de licenciement peut rester ouverte. Car, il n’en demeure pas moins que, indépendamment de son endettement, le recourant a clairement violé le secret de fonction auquel il était astreint en montrant à des tiers des séquences de vidéosurveillance de Z.________ et il a fait preuve de négligence en laissant sur une clé USB, qu’il lui arrivait de sortir involontairement de l’enceinte de l’établissement, des données aussi sensibles que des vues et une documentation de chacune des caméras de surveillance de Z.________. Ces manquements sont bien plus problématiques que des dettes compte tenu de la fonction que l’intéressé occupe et des garanties de fiabilité et de confiance qu’il est supposé présenter en tout temps et toute circonstance. Selon l'article 15 LSt , les titulaires de fonctions publiques doivent en effet se montrer dignes de la confiance que leur situation officielle exige (al. 1). Ils accomplissent leurs tâches avec engagement, fidélité et impartialité, dans le respect des instructions reçues (al. 2). Selon le code de déontologie pour les agents et agentes de détention et le personnel administratif des établissements pénitentiaires et du Service pénitentiaire du canton de Neuchâtel, que le recourant a promis de respecter, ceux-ci doivent se comporter en tout temps de manière à préserver la confiance et la considération que requiert leur fonction. Leur comportement est toujours discipliné et exemplaire (art. 5). Ils sont astreints au secret de fonction, n’en sont déliés que lorsque le Conseil d’Etat leur en donne l’autorisation en vue de témoigner devant la justice (art. 16 al. 1) et ils ne doivent divulguer aucune information confidentielles relative à la sécurité des établissements (al. 2). A maintes reprises, la jurisprudence (arrêts de la CDP du 03.03.2016 [ 2015.300 ] cons. 4b, du 29.08.2012 [2012.85] cons. 5, et du 11.03.2011 [ 2010.414 ] cons. 3b) a rappelé qu’un agent de détention occupe dans l'administration cantonale une position dans laquelle la confiance et l'intégrité jouent un rôle particulier. On doit dès lors attendre de ces personnes une attitude irréprochable, que cela soit durant l'exercice de leur fonction, mais également en dehors de celle-ci. Les supérieurs doivent pouvoir s'en remettre à eux sans réserve. L’élément de confiance est donc particulièrement important dans cette fonction. Or, en montrant, avec une telle légèreté, à deux de ses connaissances des séquences extraites de la vidéosurveillance de Z.________, qui se trouvaient sur une clé USB utilisée à titre professionnel qu’il avait involontairement rapportée chez lui, le recourant a précisément trahi cette confiance. Le fait que le Ministère public ait considéré que cette violation du secret de fonction n’était pas "d’une gravité particulière" (ordonnance pénale du 14.08.2018), notamment parce que l’intéressé croyait partager ces images avec deux policiers (ce qui était vrai pour l’un des deux), ne lui est d’aucun secours. Cette appréciation, qui s’inscrivait dans le cadre de la fixation de la peine, ne s’imposait nullement à l’employeur étant donné le pouvoir d’appréciation dont celui-ci dispose pour décider si les faits reprochés à un collaborateur constituent des justes motifs de résiliation, sans avertissement préalable. A cet égard, force est de retenir que les manquements reprochés au recourant (visionnement de séquences de vidéosurveillance avec des tiers et présence sur une clé USB transportée hors de l’enceinte de Z.________ de données sensibles, en particulier relatives à la sécurité de cet établissement), que celui-ci ne conteste au demeurant pas même s’il tente de les minimiser, sont objectivement de nature à faire douter de sa fiabilité, au point de rompre définitivement les rapports de confiance. Ainsi toute rigoureuse que puisse paraître la décision de l’intimé, celle-ci n’en demeure pas moins proportionnée aux circonstances compte tenu par ailleurs que l’intéressé avait déjà fait l’objet, au mois de janvier 2015, d’un rappel à son devoir de discrétion, dont il ne semble manifestement pas avoir tiré les enseignements. C’est donc sans abuser ou excéder de son pouvoir d'appréciation que l’employeur a considéré que la poursuite des rapports de service n'était plus envisageable et qu’il a de ce fait renoncé à prononcer préalablement un avertissement. On ne saurait par ailleurs inférer du maintien du recourant à son poste de travail jusqu’à sa suspension le 6 juin 2018, alors que les faits reprochés avaient été dénoncés au Ministère public le 16 avril 2018, que ceux-ci n’étaient pas d’une gravité particulière. Ayant été portés à la connaissance de ses supérieurs par un tiers, il paraissait en effet opportun, avant de prendre une quelconque mesure à son encontre, d’attendre que celui-ci se détermine à leur sujet, ce qui fut fait le 28 mai 2018 devant la police, puis le 31 mai suivant devant ses supérieurs hiérarchiques. Dès lors, en suspendant l’intéressé de ses fonctions le 6 juin 2018, après que celui-ci avait admis les faits, l’employeur a réagi rapidement, ce qui tend au contraire plutôt à démontrer toute la gravité que ce dernier leur prêtait.</w:t>
      </w:r>
    </w:p>
    <w:p>
      <w:r>
        <w:rPr>
          <w:b/>
        </w:rPr>
        <w:t>E. 4</w:t>
      </w:r>
    </w:p>
    <w:p>
      <w:r>
        <w:t>a) Le recours doit ainsi être rejeté. La requête visant la restitution de l'effet suspensif n'a plus d'objet. Le dossier permettant de juger la cause en l'état, il n'y a pas lieu de donner suite à la réquisition de preuves du recourant relative au dossier pénal. b) Selon la pratique de la Cour de céans en matière de litiges relatifs aux rapports de service, il n’est pas perçu de frais lorsque la valeur litigieuse n’excède pas 30'000 francs (arrêt non publié de la CDP du 25.07.2018 [2018.140] cons. 4 et les références citées). Le recourant ayant conclu à l’annulation de la décision de renvoi et à sa réintégration, la valeur litigieuse porte sur plusieurs mois, voire plusieurs années de salaire (arrêt du TF du 13.05.2015 [8C_286/2014] cons. 1); elle dépasse donc largement 30'000 francs, de sorte qu’il y a lieu de percevoir des frais qui, vu le sort de la cause, seront mis à la charge du recourant (art. 48 LPJA ). Par ailleurs, celui-ci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