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CDP.2018.150 vom 19. April 2018</w:t>
      </w:r>
    </w:p>
    <w:p>
      <w:r>
        <w:t>NE Tribunal cantonal, 2018-04-19, FR</w:t>
      </w:r>
    </w:p>
    <w:p>
      <w:r>
        <w:rPr>
          <w:b/>
        </w:rPr>
        <w:t xml:space="preserve">Quelle: </w:t>
      </w:r>
      <w:r>
        <w:t>https://mcp.opencaselaw.ch/entscheid/ne_gerichte_CDP.2018.150_d20180419</w:t>
      </w:r>
    </w:p>
    <w:p>
      <w:r>
        <w:t>FR: NE_GERICHTE CDP.2018.150 du 19 avril 2018</w:t>
      </w:r>
    </w:p>
    <w:p>
      <w:r>
        <w:t>IT: NE_GERICHTE CDP.2018.150 del 19 aprile 2018</w:t>
      </w:r>
    </w:p>
    <w:p>
      <w:pPr>
        <w:pStyle w:val="Heading2"/>
      </w:pPr>
      <w:r>
        <w:t>Regeste</w:t>
      </w:r>
    </w:p>
    <w:p>
      <w:r>
        <w:t>Remise d’impôt. Notion de dénuement. Forfait d’entretien.</w:t>
      </w:r>
    </w:p>
    <w:p>
      <w:pPr>
        <w:pStyle w:val="Heading2"/>
      </w:pPr>
      <w:r>
        <w:t>Erwägungen</w:t>
      </w:r>
    </w:p>
    <w:p>
      <w:r>
        <w:rPr>
          <w:b/>
        </w:rPr>
        <w:t>E. 1</w:t>
      </w:r>
    </w:p>
    <w:p>
      <w:r>
        <w:t>de charges extraordinaires découlant de l'entretien de la famille ou d'obligations d'entretien,</w:t>
      </w:r>
    </w:p>
    <w:p>
      <w:r>
        <w:rPr>
          <w:b/>
        </w:rPr>
        <w:t>E. 2</w:t>
      </w:r>
    </w:p>
    <w:p>
      <w:r>
        <w:t>de coûts élevés de maladie, d'accident ou de soins qui ne sont pas supportés par des tiers, ou</w:t>
      </w:r>
    </w:p>
    <w:p>
      <w:r>
        <w:rPr>
          <w:b/>
        </w:rPr>
        <w:t>E. 3</w:t>
      </w:r>
    </w:p>
    <w:p>
      <w:r>
        <w:t>d'un chômage prolongé;</w:t>
      </w:r>
    </w:p>
    <w:p>
      <w:r>
        <w:t>b. un surendettement important dû à des dépenses extraordinaires qui ont leur origine dans la situation personnelle de la personne et pour lesquelles elle n'a pas à répondre.</w:t>
      </w:r>
    </w:p>
    <w:p>
      <w:r>
        <w:t>2Si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w:t>
      </w:r>
    </w:p>
    <w:p>
      <w:r>
        <w:t>a. les engagements par cautionnement;</w:t>
      </w:r>
    </w:p>
    <w:p>
      <w:r>
        <w:t>b. les dettes hypothécaires élevées;</w:t>
      </w:r>
    </w:p>
    <w:p>
      <w:r>
        <w:t>c. les dettes fondées sur le petit crédit en raison d'un niveau de vie excessif;</w:t>
      </w:r>
    </w:p>
    <w:p>
      <w:r>
        <w:t>d. les pertes commerciales ou pertes de capital élevées, pour les indépendants, lorsque cet état de fait met en danger l'existence économique de la personne et des emplois.</w:t>
      </w:r>
    </w:p>
    <w:p>
      <w:r>
        <w:t>3Les pertes de revenus et les dépenses déjà prises en compte dans la taxation ou le calcul de l'impôt ne sont pas reconnues comme étant des causes de dénuement. Cela vaut en particulier pour les fluctuations usuelles du revenu du contribuable.</w:t>
      </w:r>
    </w:p>
    <w:p>
      <w:r>
        <w:rPr>
          <w:b/>
        </w:rPr>
        <w:t>E. 4</w:t>
      </w:r>
    </w:p>
    <w:p>
      <w:r>
        <w:t>En vertu de l’article 144 al. 1 LIFD, les frais de la procédure devant la commission cantonale de recours sont mis à la charge de la partie qui succombe. L’alinéa 3 de cette disposition permet de renoncer de prononcer des frais lorsque des circonstances spéciales l’exigent. Dans la mesure où le droit cantonal prévoit la gratuité de la procédure de remise au niveau de l’impôt cantonal et communal, la Cour de céans renonce également à percevoir des frais pour l’impôt fédéral direct. II. Impôt cantonal et communal</w:t>
      </w:r>
    </w:p>
    <w:p>
      <w:r>
        <w:rPr>
          <w:b/>
        </w:rPr>
        <w:t>E. 5</w:t>
      </w:r>
    </w:p>
    <w:p>
      <w:r>
        <w:t>a) Sur la plan du droit cantonal, 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Les règles cantonales doivent être interprétées en fonction du droit fédéral non seulement lorsqu’elles ont la même teneur que celui-ci (RJN 1986, p. 165 ; 2010, p. 427 ), mais également en raison de l’harmonisation verticale entre Confédération, cantons et communes voulue par le législateur. A ce titre, la LIFD constitue un élément d’interprétation important du droit cantonal harmonisé (arrêt du TF du 27.04.2010 [ 2C_545/2009 ] cons. 5.3 et les références citées). Dans cette optique et compte tenu notamment du fait que l’article 242 LCdir est pour l’essentiel identique à l’article 167 LIFD , on s’inspirera de la jurisprudence fédérale rendue en la matière. La modification de la LIFD du 20 juin 2014 et l’entrée en vigueur le 1 er janvier 2016 des articles 167a à g LIFD n’ont pas apporté des changements importants et la jurisprudence rendue sous l’ancien droit demeure pertinente. b) La procédure de remise, détaillée dans le règlement concernant le traitement des demandes de remise des impôts directs cantonal et communal du 1 er novembre 2000 (ci-après : le règlement), vise essentiellement une application uniforme, sur le plan matériel, de la LCdir , notamment par la concrétisation des notions visées en son article 242 (cf. art. 8 à 9 du règlement [motifs de remise]).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Il convient de préciser que les simples fluctuations du revenu du contribuable sont périodiquement prises en compte lors de la taxation et ne constituent pas un motif de remise (art. 9). Le motif de la remise est le dénuement (art. 8 al. 1 du règlement ).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En l’espèce, comme déjà indiqué ci-dessus (cf. cons. 3b), la recourante ne se trouve pas en situation de dénuement, ses ressources telles qu’elles ressortent du dossier couvrant ses charges. Au niveau cantonal, ces dernières sont même légèrement inférieures puisqu’elles se montent à 1'992.35 (forfait d’entretien : 977 francs + loyer : 931 francs + assurance-maladie : 57.35 francs + frais pour les piles auditives : 27 francs). Le recours sera dès lors également rejeté et la décision attaquée confirmée en tant qu’elle concerne l’impôt cantonal et communal. Il est statué sans frais (art. 242 al. 3 LCdir , art. 167b al. 2 LIFD).</w:t>
      </w:r>
    </w:p>
    <w:p>
      <w:r>
        <w:rPr>
          <w:b/>
        </w:rPr>
        <w:t>E. 6</w:t>
      </w:r>
    </w:p>
    <w:p>
      <w:r>
        <w:t>Quant aux arguments de la recourante relatifs aux facilités de paiement, la Cour de céans relève qu’elle n'est pas compétente pour se saisir d'une telle problématique, de telles concessions échappant, dans le domaine de l'ICD, à son contrôle (cf. RJN 2010, p. 427 ; Frey in Zweifel/Athanas [Editeurs] op. cit., , no 1 ad art. 166, p. 2639s).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