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CDP.2018.108 vom 20. April 2015</w:t>
      </w:r>
    </w:p>
    <w:p>
      <w:r>
        <w:t>NE Tribunal cantonal, 2015-04-20, FR</w:t>
      </w:r>
    </w:p>
    <w:p>
      <w:r>
        <w:rPr>
          <w:b/>
        </w:rPr>
        <w:t xml:space="preserve">Quelle: </w:t>
      </w:r>
      <w:r>
        <w:t>https://mcp.opencaselaw.ch/entscheid/ne_gerichte_CDP.2018.108_d20150420</w:t>
      </w:r>
    </w:p>
    <w:p>
      <w:r>
        <w:t>FR: NE_GERICHTE CDP.2018.108 du 20 avril 2015</w:t>
      </w:r>
    </w:p>
    <w:p>
      <w:r>
        <w:t>IT: NE_GERICHTE CDP.2018.108 del 20 aprile 2015</w:t>
      </w:r>
    </w:p>
    <w:p>
      <w:pPr>
        <w:pStyle w:val="Heading2"/>
      </w:pPr>
      <w:r>
        <w:t>Regeste</w:t>
      </w:r>
    </w:p>
    <w:p>
      <w:r>
        <w:t>Responsabilité d’un administrateur au sens de l'article 52 LAVS.</w:t>
      </w:r>
    </w:p>
    <w:p>
      <w:pPr>
        <w:pStyle w:val="Heading2"/>
      </w:pPr>
      <w:r>
        <w:t>Erwägungen</w:t>
      </w:r>
    </w:p>
    <w:p>
      <w:r>
        <w:rPr>
          <w:b/>
        </w:rPr>
        <w:t>E. 1</w:t>
      </w:r>
    </w:p>
    <w:p>
      <w:r>
        <w:t>Interjeté dans les formes et délai légaux, le recours est recevable.</w:t>
      </w:r>
    </w:p>
    <w:p>
      <w:r>
        <w:rPr>
          <w:b/>
        </w:rPr>
        <w:t>E. 2</w:t>
      </w:r>
    </w:p>
    <w:p>
      <w:r>
        <w:t>a) La LPGA et la LPJA ne contiennent pas de disposition relative à la jonction de causes. Il n'en demeure pas moins que l'autorité saisie d'un ou plusieurs recours peut, en tout temps, joindre ou disjoindre des causes, ce dans un but d'économie de procédure ( ATF 131 V 461 cons. 1). b) En l’espèce, les recourants contestent, dans un seul recours, deux décisions émanant de la même intimée. Elles reposent sur des faits matériels et une argumentation identique et portent sur des questions juridiques qui se recouvrent. Par économie de procédure, il se justifie dès lors de joindre formellement les deux procédures et de les traiter dans un arrêt unique.</w:t>
      </w:r>
    </w:p>
    <w:p>
      <w:r>
        <w:rPr>
          <w:b/>
        </w:rPr>
        <w:t>E. 3</w:t>
      </w:r>
    </w:p>
    <w:p>
      <w:r>
        <w:t>a) L’employeur qui, intentionnellement ou par négligence grave, n’observe pas des prescriptions et cause ainsi un dommage à l’assurance, est tenu à réparation (art. 52 al. 1 LAVS).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l’article 52 LAVS et doit, par conséquent, réparer la totalité du dommage ainsi occasionné. Si l'employeur est une personne morale, les membres de l'administration et toutes les personnes qui s'occupent de la gestion ou de la liquidation répondent à titre subsidiaire du dommage (art. 52 al. 2 LAVS). Lorsque plusieurs personnes sont responsables d’un même dommage, elles répondent solidairement de la totalité du dommage (art. 52 al. 1 et 2 LAVS; ATF 132 III 523 cons. 4.5 et les références).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Valterio , Droit de l’assurance-vieillesse et survivants (AVS) et de l’assurance-invalidité (AI), 2011, § 126, n o 2388 ss; Nussbaumer , Die Haftung des Verwaltungsrates nach Art. 52 AHVG, PJA 1996 no 7a, p. 1074; Frésard , Les développements récents de la jurisprudence du Tribunal fédéral des assurances relatives à la responsabilité de l’employeur selon l’art. 52 LAVS, RSA 1991, no 2, p. 163). b)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 cit., § 126, n o 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[CDP.2013.185] cons. 2b). La question de la faute doit primairement être jugée en fonction des éléments qui ont conduit au non-paiement des cotisations ( ATF 124 V 253 cons. 3b, p. 255). c)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leur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 Valterio , op. cit., n° 2395 ss, p. 647 ss).</w:t>
      </w:r>
    </w:p>
    <w:p>
      <w:r>
        <w:rPr>
          <w:b/>
        </w:rPr>
        <w:t>E. 4</w:t>
      </w:r>
    </w:p>
    <w:p>
      <w:r>
        <w:t>A titre préalable, il convient de rappeler que le principe inquisitoire, d'après lequel les faits pertinents de la cause doivent être constatés d'office par le juge (art. 61 let.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 2 et les références, 130 I 180 cons. 3.2).</w:t>
      </w:r>
    </w:p>
    <w:p>
      <w:r>
        <w:rPr>
          <w:b/>
        </w:rPr>
        <w:t>E. 5</w:t>
      </w:r>
    </w:p>
    <w:p>
      <w:r>
        <w:t>Ceci étant, le litige porte sur la responsabilité des recourants, au sens de l'article 52 LAVS , suite au préjudice de 201'680.95 francs subi par la CCNC en raison du non-paiement par la société du solde des cotisations sociales paritaires afférentes aux années 2011 à 2015. Dans leur écriture, les recourants se contentent d’indiquer : "nous contestons le montant de CHF 201'680.95 et nous vous demandons de bien vouloir vérifier ce montant et vous demandons de nous faire parvenir des justificatifs quant aux montants réclamés". En l’espèce, si la production initiale (02.12.2015) de 202'029.85 francs semble avoir été réduite à la somme de 201'680.95, ce qui est, quoi qu’il en soit, à l’avantage des recourants, force est de constater que la société faillie a reconnu ce dernier montant, ainsi que l’atteste l’acte de défaut de bien du 26 janvier 2017. Les recourants ne contestent à cet égard pas leur qualité d’organe participant à la formation de la volonté de la société. La Cour de céans relève en outre qu’ils sollicitent des justificatifs dont ils avaient demandé la production à l’intimée, alors qu’ils les avaient déjà reçus. Ils ne réfutent pas non plus avoir adopté un comportement fautif et ne font valoir aucune circonstance le justifiant ou excluant l’intention ou la négligence grave. Il ressort de toute manière du dossier que le retard accumulé dans le versement des cotisations sociales était constant, de 2011 jusqu'à la faillite de la société en 2015, et qu'ils paient en outre sous forme de mensualités la créance contestée. Dans ces conditions, faute pour les recourants d’avoir apporté une quelconque motivation quant aux éléments de la créance qu’ils entendaient contester devant la Cour de céans, il n’appartient pas à celle-ci d’instruire plus avant cette question, étant entendu que, si une motivation insuffisante n’est pas un motif d’irrecevabilité mais uniquement une faiblesse d’argumentation (cf. Tanquerel , Manuel de droit administratif, 2011, p. 445 N 1355), on pouvait raisonnablement attendre d’eux qu’ils expliquent en quoi les constatations de l'autorité précédente étaient inexactes, arbitraires ou autrement contraires au droit. Au demeurant, les autres arguments formulés (situation financière, chômage, allocation du produit de la faillite) n’ont aucune incidence sur l’objet du litige. Le recours est mal fondé.</w:t>
      </w:r>
    </w:p>
    <w:p>
      <w:r>
        <w:rPr>
          <w:b/>
        </w:rPr>
        <w:t>E. 6</w:t>
      </w:r>
    </w:p>
    <w:p>
      <w:r>
        <w:t>Les considérants qui précèdent conduisent au rejet du recours . Il est statué sans frais, la procédure étant en principe gratuite, et sans dépens.</w:t>
      </w:r>
    </w:p>
    <w:p>
      <w:r>
        <w:rPr>
          <w:b/>
        </w:rPr>
        <w:t>E. 7</w:t>
      </w:r>
    </w:p>
    <w:p>
      <w:r>
        <w:t>juin 2011 (Amélioration de la mise en oeuvre), en vigueur depuis le 1erjanv. 2012 (RO20114745;FF2011519).5RS830.1</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