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 vom 6. September 2018</w:t>
      </w:r>
    </w:p>
    <w:p>
      <w:r>
        <w:t>NE Tribunal cantonal, 2018-09-06, FR</w:t>
      </w:r>
    </w:p>
    <w:p>
      <w:r>
        <w:rPr>
          <w:b/>
        </w:rPr>
        <w:t xml:space="preserve">Quelle: </w:t>
      </w:r>
      <w:r>
        <w:t>https://mcp.opencaselaw.ch/entscheid/ne_gerichte_CDP.2018.1</w:t>
      </w:r>
    </w:p>
    <w:p>
      <w:r>
        <w:t>FR: NE_GERICHTE CDP.2018.1 du 6 septembre 2018</w:t>
      </w:r>
    </w:p>
    <w:p>
      <w:r>
        <w:t>IT: NE_GERICHTE CDP.2018.1 del 6 settembre 2018</w:t>
      </w:r>
    </w:p>
    <w:p>
      <w:pPr>
        <w:pStyle w:val="Heading2"/>
      </w:pPr>
      <w:r>
        <w:t>Erwägungen</w:t>
      </w:r>
    </w:p>
    <w:p>
      <w:r>
        <w:rPr>
          <w:b/>
        </w:rPr>
        <w:t>E. 1</w:t>
      </w:r>
    </w:p>
    <w:p>
      <w:r>
        <w:t>Interjeté dans les formes et délai légaux, le recours est recevable.</w:t>
      </w:r>
    </w:p>
    <w:p>
      <w:r>
        <w:rPr>
          <w:b/>
        </w:rPr>
        <w:t>E. 2</w:t>
      </w:r>
    </w:p>
    <w:p>
      <w:r>
        <w:t>a) Selon l'article 25 al . 1 let. d OPC-AVS/AI , la prestation complémentaire annuelle doit être augmentée, réduite ou supprimée si, lors d’un contrôle périodique, on constate un changement des dépenses reconnues, des revenus déterminants et de la fortune; on pourra renoncer à rectifier la prestation complémentaire annuelle lorsque la modification est inférieure à 120 francs par an. Aux termes de l’article 25 al. 2 let. d OPC-AVS/AI , la nouvelle décision doit porter effet, dans les cas prévus par l’alinéa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Ainsi, lorsqu’en application de l’article 25 OPC-AVS/AI , l’administration effectue une adaptation des prestations suite à la modification des conditions personnelles ou économiques de l’intéressé ou des membres de sa famille, celui-ci peut être tenu de restituer des prestations reçues en trop en cas de violation de son obligation de renseigner (arrêt du TF du 06.08.2014 [9C_328/2014] cons. 5.2). b) Selon l’article 31 al. 1 LPGA , l'ayant droit, ses proches ou les tiers auxquels une prestation est versée sont tenus de communiquer à l'assureur ou, selon le cas, à l'organe compétent toute modification importante des circonstances déterminantes pour l'octroi d'une prestation. Pour les prestations complémentaires de droit fédéral, cette règle est énoncée à l’article 24 OPC-AVS/AI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L'obligation d'annoncer toute modification des circonstances déterminantes est l'expression du principe de la bonne foi entre administration et administré ( ATF 140 IV 11 cons. 2.4.5). Pour qu'il y ait violation de l'obligation de renseigner, il faut qu'il y ait un comportement fautif; d'après une jurisprudence constante, une légère négligence suffit déjà ( ATF 112 V 97 cons. 2a, arrêt du TF du 15.03.2017 [ 8C_266/2016] cons. 5.1.3 ). c) En dehors de l'éventualité de la violation de l'obligation de renseigner, la jurisprudence a admis que l'ayant droit est tenu à restitution lorsque les conditions de l'article 25 LPGA sur la restitution de prestations indûment touchées sont réalisées, à savoir les conditions d'une reconsidération ou d'une révision procédurale ( ATF 130 V 318 cons. 5.2, arrêt du TF du 06.08.2014 [9C_328/2014 ] cons. 5.3). Conformément à l’article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Par définition, un fait nouveau permettant la révision procédurale d’une décision entrée en force doit exister au moment où cette décision a été rendue, mais est découvert après coup (arrêt du TF du 06.08.2014 [9C_328/2014] cons. 6.1). Conformément à l’article 53 al. 2 LPGA , l’assureur peut revenir sur les décisions ou les décisions sur opposition formellement passées en force lorsqu’elles sont manifestement erronées et que leur rectification revêt une importance notable. Une décision est sans nul doute erronée lorsqu'il n'existe aucun doute raisonnable sur le fait qu'elle était erronée, la seule conclusion possible étant que tel est le cas ( ATF 125 V 383 ; arrêt du TF du 07.11.2006 [C 269/05] cons. 3; Kieser , ATSG-Kommentar, 3e éd., 2015, no 52 ad art. 53). Pour conclure qu'une décision (formelle ou matérielle) est manifestement erronée, encore faut-il que les éléments que l’assureur avait au dossier, au moment où il a octroyé les prestations litigieuses, lui permettaient d'aboutir à la conclusion que l'assuré n'y avait pas droit (arrêt du TF du 07.11.2006 [C.269/2005] cons.5, ATF 126 V 399 ). d) Selon l'article 25 al. 1 1 re phrase LPGA , les prestations indûment touchées doivent être restituées. Le droit de demander la restitution s'éteint un an après le moment où l'institution d'assurance a eu connaissance du fait, mais au plus tard cinq ans après le versement de la prestation (art. 25 al. 2 1 re phrase LPGA). Nonobstant la terminologie légale , il s'agit de délais (relatif et absolu) de péremption qui doivent être examinés d'office (arrêt du TF du 05.11.2013 [2C_180/2013] cons. 5.2 et les références). Ces délais ne peuvent par conséquent pas être interrompus. L orsque s'accomplit l'acte conservatoire que prescrit la loi, les délais se trouvent sauvegardés une fois pour toutes ( ATF 124 V 380 ; arrêt du TF du 14.12.2009 [8C_616/2009] cons. 4.2.2 et les références ). Aux termes de l'article 25 al. 2 LPGA , si la créance naît d'un acte punissable pour lequel le droit pénal prévoit un délai plus long, celui-ci est déterminant (art. 25 al. 2 2 ème phrase LPGA).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l'article 25 al. 2 LPGA est applicable dans le cas particulier. Pour que le délai de péremption plus long prévu par le droit pénal s'applique, il n'est pas nécessaire que l'auteur de l'infraction ait été condamné ( ATF 140 IV 206 cons. 6.2).</w:t>
      </w:r>
    </w:p>
    <w:p>
      <w:r>
        <w:rPr>
          <w:b/>
        </w:rPr>
        <w:t>E. 3</w:t>
      </w:r>
    </w:p>
    <w:p>
      <w:r>
        <w:t>a) En l’occurrence, bien qu’elle soit intitulée "décision de restitution", dans la mesure où elle supprime des prestations avec effet rétroactif, la décision du</w:t>
      </w:r>
    </w:p>
    <w:p>
      <w:r>
        <w:rPr>
          <w:b/>
        </w:rPr>
        <w:t>E. 5</w:t>
      </w:r>
    </w:p>
    <w:p>
      <w:r>
        <w:t>(non publié inATF 129 V 110), du25.02.2009 [9C_828/2008]cons. 6).Au vu des montants effectivement alloués à tort de 274 francs suite à la décision du5 février2016 et dans la mesure où il ne s'agit que de deux prestations périodiques, sa rectification ne revêt pas une importance notable. Les conditions dune reconsidération ne sont donc pas remplies et les prestations versées pour lannée 2017 ne doivent pas être restituées.</w:t>
      </w:r>
    </w:p>
    <w:p>
      <w:r>
        <w:t>d) En définitive, le montant des prestations à restituer sélève à 1752 francs (CHF 146 X 12) pour lannée 2014, 1692 francs (CHF 141 X 12) pour lannée 2015 et à 1'692 francs (CHF 141 x 12) pour lannée 2016, ce qui conduit à un total de 5136 francs.</w:t>
      </w:r>
    </w:p>
    <w:p>
      <w:r>
        <w:t>4.a) En matière de prestations complémentaires, ce sont principalement les infractions réprimées aux articles146 CP(escroquerie) et 31 LPC (manquement à l'obligation de communiquer selon larticle31 al. 1 LPGA) qui entrent en considération au titre d'infractions pouvant impliquer l'application d'un délai depéremptionplus long.</w:t>
      </w:r>
    </w:p>
    <w:p>
      <w:r>
        <w:t>Conformément à l'article146 al. 1 CP, est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(ATF 140 IV 11cons. 2.3.2).</w:t>
      </w:r>
    </w:p>
    <w:p>
      <w:r>
        <w:t>L'assuré qui, en vertu de l'article31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(ATF 140 IV 11cons. 2.4.1 et cons. 2.4.6 in fine). Par ailleurs,les devoirs légaux et contractuels du bénéficiaire de prestations d'assurance d'annoncer les modifications de sa situation personnelle susceptibles d'influencer la rente ne génèrent pas une position de garant (ATF 140 IV 11cons. 2.4).</w:t>
      </w:r>
    </w:p>
    <w:p>
      <w:r>
        <w:t>Conformément à l'article31 al. 1 let. d LPC, est puni, à moins qu'il ne s'agisse d'un crime ou d'un délit frappé d'une peine plus élevée par le code pénal, d'une peine pécuniaire n'excédant pas 180 jours-amende celui qui manque à son obligation de communiquer au sens de l'article31 al. 1 LPGA. La réalisation de cette infraction impliquerait un délai de péremption de 7 ans (art. 97 CP).</w:t>
      </w:r>
    </w:p>
    <w:p>
      <w:r>
        <w:t>b) En lespèce, la recourante a spontanément transmis à lintimée, avec sa demande de révision datée du5 mai 2016, lalettre du 19 mars 2015,la taxation de 2014 ainsi que ses certificats de salaire 2014 et 2015, ce qui plaide dans le sens de l'absence de tromperie ou d'astuce. Faute délément au dossier permettant d'admettre un comportement actif de tromperie visant à cacher des informations pertinentes pour l'examen du droit aux prestations et en labsence de position de garant, seule une violation de lobligation de communiquer entre en ligne de compte. Pourles motifs expliqués au considérant 3c),les conditions objectives de l'infraction réprimée à l'article31 al. 1 let. d LPCsont réalisées.Comme lénonce de manière claire larticle 11 al. 1 let. b et c LPC, les revenus déterminants pour le calcul des prestations complémentaires comprennent notamment le produit de la fortune mobilière (let. b) ainsi quune part de la fortune nette (let. c). Larticle17 al. 1 OPC-AVS/AIprécise quant à lui que la fortune prise en compte doit être évaluée selon les règles de la législation sur limpôt cantonal direct du canton du domicile. Aussi, en tant quassociée-gérante et fondatrice dune société fiduciaire, la recourante ne pouvait ignorer que lestimation de ses titres ainsi quune augmentation de salaire pouvaient potentiellement avoir une influence sur la fortune prise en compte dans le calcul des prestations complémentaires. Comme le rappellent les décisions doctroi de prestations complémentaires et notamment celle du 14 février 2014 figurant au dossier, les bénéficiaires de PC sont tenus dannoncer immédiatement aux organes compétents toute modification susceptible dentraîner une modification de la prestation complémentaire, notamment sagissant dune augmentation de salaire (ch. 10) ou de la fortune (ch. 13 et 20).Par conséquent, la recourante, associée gérante d'une société quisoccupe notamment de tutelles et curatelles, activité qui implique régulièrement le suivi de bénéficiaires de prestations complémentaires,ne pouvait ignorer l'importance que revêtait la communication rapide de toute information d'ordre économique la concernant. Dans ces conditions, on peut considérer quelle était consciente qu'elle retenait des informations qu'elle avait l'obligation de transmettre sans délai à lintimée, commettant ainsi un acte par dol éventuel. Les conditions objectives et subjectives de l'infraction réprimée à l'article31 al. 1 let. d LPCétant réalisées, le délai de péremption de plus longue durée prévu par le droit pénal, soit en l'occurrence sept ans (art. 97 CP), est par conséquent applicable. Il sensuit que le droit de demander la restitution n'était pas périmé au moment du prononcé de la décision de restitution.</w:t>
      </w:r>
    </w:p>
    <w:p>
      <w:r>
        <w:t>5.Au vu de ce qui précède,le recours doit être très partiellement admis et la décision attaquée réformée en ce sens que le montant à restituer par X.________ sélève à5136francs.</w:t>
      </w:r>
    </w:p>
    <w:p>
      <w:r>
        <w:t>Il est statué sans frais, la procédure étant en principe gratuite (art. 61 let. a LPGA).</w:t>
      </w:r>
    </w:p>
    <w:p>
      <w:r>
        <w:t>La recourante, qui procède avec lassistance dun mandataire, a droit à des dépens partiels (art. 61 let. g LPGA), qui seront fixés ex-aequo et bono à 300 francs tout compris.</w:t>
      </w:r>
    </w:p>
    <w:p>
      <w:r>
        <w:t>Par ces motifs,la Cour de droit public</w:t>
      </w:r>
    </w:p>
    <w:p>
      <w:r>
        <w:t>1.Admet partiellement le recours.</w:t>
      </w:r>
    </w:p>
    <w:p>
      <w:r>
        <w:t>2.Réforme la décision attaquée en ce sens que X.________ est tenue de restituer à lintimée un montant de5136francs.</w:t>
      </w:r>
    </w:p>
    <w:p>
      <w:r>
        <w:t>3.Statue sans frais.</w:t>
      </w:r>
    </w:p>
    <w:p>
      <w:r>
        <w:t>4.Alloue à la recourante une indemnité de dépens partiels de 300 francs, honoraires, frais et TVA compris à la charge de l'intimée.</w:t>
      </w:r>
    </w:p>
    <w:p>
      <w:r>
        <w:t>Neuchâtel, le 6 septembre 2018</w:t>
      </w:r>
    </w:p>
    <w:p>
      <w:r>
        <w:t>1La fortune prise en compte doit être évaluée selon les règles de la législation sur l'impôt cantonal direct du canton du domicile.</w:t>
      </w:r>
    </w:p>
    <w:p>
      <w:r>
        <w:t>2et32</w:t>
      </w:r>
    </w:p>
    <w:p>
      <w:r>
        <w:t>4Lorsque des immeubles ne servent pas d'habitation au requérant ou à une personne comprise dans le calcul de la prestation complémentaire, ils seront pris en compte à la valeur vénale.</w:t>
      </w:r>
    </w:p>
    <w:p>
      <w:r>
        <w:t>5En cas de dessaisissement d'un immeuble, à titre onéreux ou gratuit, est déterminante la valeur vénale pour savoir s'il y a renonciation à des parts de fortune au sens de l'art. 11, al. 1, let. g, LPC.3La valeur vénale n'est pas applicable si, légalement, il existe un droit d'acquérir l'immeuble à une valeur inférieure.4</w:t>
      </w:r>
    </w:p>
    <w:p>
      <w:r>
        <w:t>6En lieu et place de la valeur vénale, les cantons peuvent appliquer uniformément la valeur de répartition déterminante pour les répartitions intercantonales.5</w:t>
      </w:r>
    </w:p>
    <w:p>
      <w:r>
        <w:t>1Nouvelle teneur selon le ch. I de l'O du 21 août 1991, en vigueur depuis le 1erjanv. 1992 (RO19912119).2Abrogés par le ch. I de l'O du 16 sept. 1998, avec effet au 1erjanv. 1999 (RO19982582).3Nouvelle teneur selon le ch. I 18 de l'O du 7 nov. 2007 (Réforme de la péréquation financière), en vigueur depuis le 1erjanv. 2008 (RO20075823).4Introduit par le ch. I de l'O du 16 sept. 1998, en vigueur depuis le 1erjanv. 1999 (RO19982582).5Introduit par le ch. I de l'O du 16 sept. 1998, en vigueur depuis le 1erjanv. 1999 (RO19982582).</w:t>
      </w:r>
    </w:p>
    <w:p>
      <w:r>
        <w:t>1La prestation complémentaire annuelle doit être augmentée, réduite ou supprimée:3</w:t>
      </w:r>
    </w:p>
    <w:p>
      <w:r>
        <w:t>a.4lors de chaque changement survenant au sein d'une communauté de personnes comprises dans le calcul de la prestation complémentaire annuelle;</w:t>
      </w:r>
    </w:p>
    <w:p>
      <w:r>
        <w:t>b. lors de chaque modification de la rente de l'assurance-vieillesse et survivants ou de l'assurance-invalidité;</w:t>
      </w:r>
    </w:p>
    <w:p>
      <w:r>
        <w:t>c.5lorsque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w:t>
      </w:r>
    </w:p>
    <w:p>
      <w:r>
        <w:t>la date à laquelle le changement intervient; on peut renoncer à adapter la prestation complémentaire annuelle, lorsque la modification est inférieure à 120 francs par an;</w:t>
      </w:r>
    </w:p>
    <w:p>
      <w:r>
        <w:t>d.6lors d'un contrôle périodique, si l'on constate un changement des dépenses reconnues, des revenus déterminants et de la fortune; on pourra renoncer à rectifier la prestation complémentaire annuelle, lorsque la modification est inférieure à 120 francs par an.</w:t>
      </w:r>
    </w:p>
    <w:p>
      <w:r>
        <w:t>2La nouvelle décision doit porter effet dès la date suivante:</w:t>
      </w:r>
    </w:p>
    <w:p>
      <w:r>
        <w:t>a.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w:t>
      </w:r>
    </w:p>
    <w:p>
      <w:r>
        <w:t>b.7dans les cas prévus par l'al. 1, let. c, lors d'une augmentation de l'excédent des dépenses, dès le début du mois au cours duquel le changement a été annoncé, mais au plus tôt à partir du mois dans lequel celui-ci est survenu;</w:t>
      </w:r>
    </w:p>
    <w:p>
      <w:r>
        <w:t>c.8dans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w:t>
      </w:r>
    </w:p>
    <w:p>
      <w:r>
        <w:t>d.9dans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w:t>
      </w:r>
    </w:p>
    <w:p>
      <w:r>
        <w:t>3Suite à une diminution de la fortune, un nouveau calcul de la prestation complémentaire annuelle ne peut être effectué qu'une fois par an.10</w:t>
      </w:r>
    </w:p>
    <w:p>
      <w:r>
        <w:t>4Si une prestation complémentaire en cours doit être réduite, en raison de la prise en compte d'un revenu minimum au sens des art. 14a, al. 2, et 14b, la réduction ne pourra avoir lieu avant l'écoulement d'un délai de six mois dès la notification de la décision afférente.11</w:t>
      </w:r>
    </w:p>
    <w:p>
      <w:r>
        <w:t>1Nouvelle teneur selon le ch. II 2 de l'O du 5 avril 1978, en vigueur depuis le 1erjanv. 1979 RO1978420).2Nouvelle teneur selon le ch. I de l'O du 26 nov. 1997, en vigueur depuis le 1erjanv. 1998 (RO19972961).3Nouvelle teneur selon le ch. I de l'O du 26 nov. 1997, en vigueur depuis le 1erjanv. 1998 (RO19972961).4Nouvelle teneur selon le ch. I de l'O du 26 nov. 1997, en vigueur depuis le 1erjanv. 1998 (RO19972961).5Nouvelle teneur selon le ch. I de l'O du 26 nov. 1997, en vigueur depuis le 1erjanv. 1998 (RO19972961).6Nouvelle teneur selon le ch. I de l'O du 26 nov. 1997, en vigueur depuis le 1erjanv. 1998 (RO19972961).7Nouvelle teneur selon le ch. I de l'O du 26 nov. 1997, en vigueur depuis le 1erjanv. 1998 (RO19972961).8Nouvelle teneur selon le ch. I de l'O du 11 sept. 2002, en vigueur depuis le 1erjanv. 2003 (RO20023726).9Nouvelle teneur selon le ch. I de l'O du 11 sept. 2002, en vigueur depuis le 1erjanv. 2003 (RO20023726).10Introduit par le ch. I de l'O du 16 juin 1986 (RO19861204). Nouvelle teneur selon le ch. I de l'O du 26 nov. 1997, en vigueur depuis le 1erjanv. 1998 (RO19972961).11Introduit par le ch. I de l'O du 7 déc. 1987 (RO19871797).</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1L'ayant droit, ses proches ou les tiers auxquels une prestation est versée sont tenus de communiquer à l'assureur ou, selon le cas, à l'organe compétent toute modification importante des circonstances déterminantes pour l'octroi d'une prestation.</w:t>
      </w:r>
    </w:p>
    <w:p>
      <w:r>
        <w:t>2Toute personne ou institution participant à la mise en oeuvre des assurances sociales a l'obligation d'informer l'assureur si elle apprend que les circonstances déterminantes pour l'octroi de prestations se sont modifiées.</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1Est puni, à moins qu'il ne s'agisse d'un crime ou d'un délit frappé d'une peine plus élevée par le code pénal1, d'une peine pécuniaire n'excédant pas 180 jours-amende:</w:t>
      </w:r>
    </w:p>
    <w:p>
      <w:r>
        <w:t>a. celui qui, par des indications fausses ou incomplètes, ou de toute autre manière, obtient d'un canton ou d'une institution d'utilité publique, pour lui-même ou pour autrui, l'octroi indu d'une prestation au sens de la présente loi;</w:t>
      </w:r>
    </w:p>
    <w:p>
      <w:r>
        <w:t>b. celui qui, par des indications fausses ou incomplètes, ou de toute autre manière, obtient sans droit une subvention au sens de la présente loi;</w:t>
      </w:r>
    </w:p>
    <w:p>
      <w:r>
        <w:t>c. celui qui n'observe pas l'obligation de garder le secret ou abuse, dans l'application de la présente loi, de sa fonction ou tire avantage de sa situation professionnelle au détriment de tiers ou pour son propre profit;</w:t>
      </w:r>
    </w:p>
    <w:p>
      <w:r>
        <w:t>d.2celui qui manque à son obligation de communiquer (art. 31, al. 1, LPGA3).</w:t>
      </w:r>
    </w:p>
    <w:p>
      <w:r>
        <w:t>2Est puni d'une amende de 5000 francs au plus, à moins que les faits ne relèvent de l'al. 1:</w:t>
      </w:r>
    </w:p>
    <w:p>
      <w:r>
        <w:t>a. celui qui, en violation de son obligation, donne sciemment des renseignements inexacts ou refuse d'en donner;</w:t>
      </w:r>
    </w:p>
    <w:p>
      <w:r>
        <w:t>b. celui qui s'oppose à un contrôle ordonné par l'autorité compétente ou rend ce contrôle impossible de toute autre manière.</w:t>
      </w:r>
    </w:p>
    <w:p>
      <w:r>
        <w:t>3L'art. 90 LAVS4est applicable.</w:t>
      </w:r>
    </w:p>
    <w:p>
      <w:r>
        <w:t>1RS311.02Introduite par le ch. IV de la loi du 6 oct. 2006, en vigueur depuis le 1erjanv. 2008 (RO20075129;FF20054215).3RS830.14RS831.10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