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CDP.2017.364 vom 13. August 2018</w:t>
      </w:r>
    </w:p>
    <w:p>
      <w:r>
        <w:t>NE Tribunal cantonal, 2018-08-13, FR</w:t>
      </w:r>
    </w:p>
    <w:p>
      <w:r>
        <w:rPr>
          <w:b/>
        </w:rPr>
        <w:t xml:space="preserve">Quelle: </w:t>
      </w:r>
      <w:r>
        <w:t>https://mcp.opencaselaw.ch/entscheid/ne_gerichte_CDP.2017.364</w:t>
      </w:r>
    </w:p>
    <w:p>
      <w:r>
        <w:t>FR: NE_GERICHTE CDP.2017.364 du 13 août 2018</w:t>
      </w:r>
    </w:p>
    <w:p>
      <w:r>
        <w:t>IT: NE_GERICHTE CDP.2017.364 del 13 agosto 2018</w:t>
      </w:r>
    </w:p>
    <w:p>
      <w:pPr>
        <w:pStyle w:val="Heading2"/>
      </w:pPr>
      <w:r>
        <w:t>Erwägungen</w:t>
      </w:r>
    </w:p>
    <w:p>
      <w:r>
        <w:rPr>
          <w:b/>
        </w:rPr>
        <w:t>E. 1</w:t>
      </w:r>
    </w:p>
    <w:p>
      <w:r>
        <w:t>lintégralité des comptes annuels;</w:t>
      </w:r>
    </w:p>
    <w:p>
      <w:r>
        <w:rPr>
          <w:b/>
        </w:rPr>
        <w:t>E. 2</w:t>
      </w:r>
    </w:p>
    <w:p>
      <w:r>
        <w:t>la clarté et le caractère essentiel des informations;</w:t>
      </w:r>
    </w:p>
    <w:p>
      <w:r>
        <w:rPr>
          <w:b/>
        </w:rPr>
        <w:t>E. 3</w:t>
      </w:r>
    </w:p>
    <w:p>
      <w:r>
        <w:t>la prudence;</w:t>
      </w:r>
    </w:p>
    <w:p>
      <w:r>
        <w:rPr>
          <w:b/>
        </w:rPr>
        <w:t>E. 4</w:t>
      </w:r>
    </w:p>
    <w:p>
      <w:r>
        <w:t>le principe de continuation de lexploitation;</w:t>
      </w:r>
    </w:p>
    <w:p>
      <w:r>
        <w:rPr>
          <w:b/>
        </w:rPr>
        <w:t>E. 5</w:t>
      </w:r>
    </w:p>
    <w:p>
      <w:r>
        <w:t>la continuité dans la présentation et lévaluation;</w:t>
      </w:r>
    </w:p>
    <w:p>
      <w:r>
        <w:rPr>
          <w:b/>
        </w:rPr>
        <w:t>E. 6</w:t>
      </w:r>
    </w:p>
    <w:p>
      <w:r>
        <w:t>linterdiction de la compensation entre actifs et passifs, ainsi  quentre charges et produits.</w:t>
      </w:r>
    </w:p>
    <w:p>
      <w:r>
        <w:t>3Des dérogations aux principes de la continuation de lexploitation, de la continuité dans la présentation et lévaluation et de linterdiction de la compensation sont admissibles si elles sont fondées. Elles seront exposées dans lannexe.</w:t>
      </w:r>
    </w:p>
    <w:p>
      <w:r>
        <w:t>4Les dispositions sur la comptabilité commerciale sont en outre applicables.</w:t>
      </w:r>
    </w:p>
    <w:p>
      <w:r>
        <w:t>1 Introduit par le ch. I de la LF du 4 oct. 1991, en vigueur depuis le 1erjuillet 1992(RO1992733; FF1983II 757).</w:t>
      </w:r>
    </w:p>
    <w:p>
      <w:r>
        <w:t>1Doivent tenir une comptabilité et présenter des comptes conformément au présent chapitre:</w:t>
      </w:r>
    </w:p>
    <w:p>
      <w:r>
        <w:t>1. les entreprises individuelles et les sociétés de personnes qui ont réalisé un chiffre d'affaires supérieur à 500 000 francs lors du dernier exercice;</w:t>
      </w:r>
    </w:p>
    <w:p>
      <w:r>
        <w:t>2. les personnes morales.</w:t>
      </w:r>
    </w:p>
    <w:p>
      <w:r>
        <w:t>2Les entreprises suivantes ne tiennent qu'une comptabilité des recettes et des dépenses ainsi que du patrimoine:</w:t>
      </w:r>
    </w:p>
    <w:p>
      <w:r>
        <w:t>1. les entreprises individuelles et les sociétés de personnes qui ont réalisé un chiffre d'affaires inférieur à 500 000 francs lors du dernier exercice;</w:t>
      </w:r>
    </w:p>
    <w:p>
      <w:r>
        <w:t>2. les associations et les fondations qui n'ont pas l'obligation de requérir leur inscription au registre du commerce;</w:t>
      </w:r>
    </w:p>
    <w:p>
      <w:r>
        <w:t>3. les fondations dispensées de l'obligation de désigner un organe de révision en vertu de l'art. 83b, al. 2, CC1.</w:t>
      </w:r>
    </w:p>
    <w:p>
      <w:r>
        <w:t>3Le principe de régularité de la comptabilité s'applique par analogie aux entreprises visées à l'al. 2.</w:t>
      </w:r>
    </w:p>
    <w:p>
      <w:r>
        <w:t>1RS210</w:t>
      </w:r>
    </w:p>
    <w:p>
      <w:r>
        <w:t>Le compte dexploitation et le bilan annuel sont dressés conformément aux principes généralement admis dans le commerce; ils doivent être complets, clairs et faciles à consulter, afin que les intéressés puissent se rendre compte aussi exactement que possible de la situation économique de lentreprise.</w:t>
      </w:r>
    </w:p>
    <w:p>
      <w:r>
        <w:t>1L'impôt sur le bénéfice a pour objet l'ensemble du bénéfice net, y compris:</w:t>
      </w:r>
    </w:p>
    <w:p>
      <w:r>
        <w:t>a. les charges non justifiées par l'usage commercial, portées au débit du compte de résultats;</w:t>
      </w:r>
    </w:p>
    <w:p>
      <w:r>
        <w:t>b. les produits et les bénéfices en capital, de liquidation et de réévaluation qui n'ont pas été portés au crédit de ce compte;</w:t>
      </w:r>
    </w:p>
    <w:p>
      <w:r>
        <w:t>c.1les intérêts sur le capital propre dissimulé (art. 29a).</w:t>
      </w:r>
    </w:p>
    <w:p>
      <w:r>
        <w:t>2Ne constituent pas un bénéfice imposable:</w:t>
      </w:r>
    </w:p>
    <w:p>
      <w:r>
        <w:t>a. les apports des membres de sociétés de capitaux et de sociétés coopératives, y compris l'agio et les prestations à fonds perdu;</w:t>
      </w:r>
    </w:p>
    <w:p>
      <w:r>
        <w:t>b. le transfert du siège, de l'administration, d'une entreprise ou d'un établissement stable dans un autre canton, à condition qu'il n'y ait ni aliénation ni réévaluation comptable;</w:t>
      </w:r>
    </w:p>
    <w:p>
      <w:r>
        <w:t>c. les augmentations de fortune provenant d'une succession, d'un legs ou d'une donation.</w:t>
      </w:r>
    </w:p>
    <w:p>
      <w:r>
        <w:t>3Les réserves latentes d'une personne morale ne sont pas imposées lors de restructurations, notamment lors d'une fusion, d'une scission ou d'une transformation, pour autant que la personne morale reste assujettie à l'impôt en Suisse et que les éléments commerciaux soient repris à leur dernière valeur déterminante pour l'impôt sur le bénéfice:</w:t>
      </w:r>
    </w:p>
    <w:p>
      <w:r>
        <w:t>a. en cas de transformation en une société de personnes ou en une autre personne morale;</w:t>
      </w:r>
    </w:p>
    <w:p>
      <w:r>
        <w:t>b. en cas de division ou séparation d'une personne morale à condition que ce transfert ait pour objet une ou plusieurs exploitations ou parties distinctes d'exploitation et pour autant que les personnes morales existantes après la scission poursuivent une exploitation ou partie distincte d'exploitation;</w:t>
      </w:r>
    </w:p>
    <w:p>
      <w:r>
        <w:t>c. en cas d'échange de droits de participation ou de droits de sociétariat suite à une restructuration ou à une concentration équivalant économiquement à une fusion;</w:t>
      </w:r>
    </w:p>
    <w:p>
      <w:r>
        <w:t>d. en cas de transfert à une société fille suisse d'exploitations ou de parties distinctes d'exploitations ainsi que d'éléments qui font partie des biens immobilisés de l'exploitation; on entend par société fille une société de capitaux ou une société coopérative dont la société de capitaux ou la société coopérative qui la transfère possède au moins 20 % du capital-actions ou du capital social.2</w:t>
      </w:r>
    </w:p>
    <w:p>
      <w:r>
        <w:t>3bisLorsqu'une société de capitaux ou une société coopérative qui n'est pas visée à l'art. 28, al. 2 et 3, transfère une participation à une société du même groupe sise à l'étranger, l'imposition de la différence entre la valeur déterminante pour l'impôt sur le bénéfice et la valeur vénale de la participation est différée. Le report de l'imposition prend fin si la participation transférée est vendue à un tiers étranger au groupe ou si la société dont les droits de participation ont été transférés aliène une part importante de ses actifs et passifs ou encore si elle est liquidée.3</w:t>
      </w:r>
    </w:p>
    <w:p>
      <w:r>
        <w:t>3terEn cas de transfert à une société fille au sens de l'al. 3, let. d, les réserves latentes transférées sont imposées ultérieurement selon la procédure prévue à l'art. 53, dans la mesure où, durant les cinq ans qui suivent la restructuration, les valeurs transférées ou les droits de participation ou les droits de sociétariat à la société fille sont aliénés; dans ce cas, la société fille peut faire valoir les réserves latentes correspondantes imposées comme bénéfice.4</w:t>
      </w:r>
    </w:p>
    <w:p>
      <w:r>
        <w:t>3quaterDes participations directes ou indirectes de 20 % au moins du capital-actions ou du capital social d'une autre société de capitaux ou d'une société coopérative, mais aussi des exploitations ou des parties distinctes d'exploitation ainsi que des éléments qui font partie des biens immobilisés de l'exploitation, peuvent être transférées, à leur dernière valeur déterminante pour l'impôt sur le bénéfice, entre des sociétés de capitaux ou des sociétés coopératives suisses qui, à la lumière des circonstances et du cas d'espèce et grâce à la détention de la majorité des voix ou d'une autre manière, sont réunies sous la direction unique d'une société de capitaux ou d'une société coopérative. Sont réservés:</w:t>
      </w:r>
    </w:p>
    <w:p>
      <w:r>
        <w:t>a. le transfert à une société fille selon l'art. 24, al. 3, let. d;</w:t>
      </w:r>
    </w:p>
    <w:p>
      <w:r>
        <w:t>b. le transfert d'éléments qui font partie des biens immobilisés de l'exploitation à une société qui est imposée selon l'art. 28, al. 2 à 4.5</w:t>
      </w:r>
    </w:p>
    <w:p>
      <w:r>
        <w:t>3quinquiesSi dans les cinq ans qui suivent un transfert au sens de l'al. 3quater, les éléments de patrimoine transférés sont aliénés ou si la direction unique est, durant cette période, abandonnée, les réserves latentes transférées sont imposées ultérieurement conformément à la procédure prévue à l'art. 53. La personne morale bénéficiaire peut dans ce cas faire valoir les réserves latentes correspondantes imposées comme bénéfice. Les sociétés de capitaux et les sociétés coopératives suisses réunies sous direction unique au moment de la violation du délai de blocage répondent solidairement du rappel d'impôt.6</w:t>
      </w:r>
    </w:p>
    <w:p>
      <w:r>
        <w:t>4Les dispositions relatives aux biens acquis en remploi (art. 8, al. 4), aux amortissements (art. 10, al. 1, let. a), aux provisions (art. 10, al. 1, let. b) et à la déduction des pertes (art. 10, al. 1, let. c) sont applicables par analogie.</w:t>
      </w:r>
    </w:p>
    <w:p>
      <w:r>
        <w:t>4bisEn cas de remplacement de participations, les réserves latentes peuvent être reportées sur une nouvelle participation si la participation aliénée était égale à 10 % au moins du capital-actions ou du capital social ou à 10 % au moins du bénéfice et des réserves de l'autre société et si la société de capitaux ou la société coopérative a détenu cette participation pendant un an au moins.7</w:t>
      </w:r>
    </w:p>
    <w:p>
      <w:r>
        <w:t>5Les prestations que des entreprises d'économie mixte accomplissant une tâche d'intérêt public fournissent de manière prépondérante à des entités qui leur sont proches sont évaluées au prix du marché, à leur coût de production majoré d'une marge appropriée ou à leur prix de vente final diminué d'une marge de bénéfice appropriée; le résultat de chaque entreprise est ajusté en conséquence.</w:t>
      </w:r>
    </w:p>
    <w:p>
      <w:r>
        <w:t>1Nouvelle teneur selon le ch. I 2 de la LF du 26 sept. 2014 (Adaptation aux disp. générales du CP), en vigueur depuis le 1erjanv. 2017 (RO2015779;FF20122649).2Nouvelle teneur selon le ch. 8 de l'annexe à la LF du 3 oct. 2003 sur la fusion, en vigueur depuis le 1erjuil. 2004 (RO20042617;FF20003995).3Introduit par le ch. I 2 de la LF du 10 oct. 1997 sur la réforme 1997 de l'imposition des sociétés, en vigueur depuis le 1erjanv. 1998 (RO1998669; FF1997II 1058).4Introduit par le ch. 8 de l'annexe à la LF du 3 oct. 2003 sur la fusion, en vigueur depuis le 1erjuil. 2004 (RO20042617;FF20003995).5Introduit par le ch. 8 de l'annexe à la LF du 3 oct. 2003 sur la fusion, en vigueur depuis le 1erjuil. 2004 (RO20042617;FF20003995).6Introduit par le ch. 8 de l'annexe à la LF du 3 oct. 2003 sur la fusion, en vigueur depuis le 1erjuil. 2004 (RO20042617;FF20003995).7Introduit par le ch. 8 de l'annexe à la LF du 3 oct. 2003 sur la fusion (RO20042617;FF20003995). Nouvelle teneur selon le ch. II 3 de la LF du 23 mars 2007 sur la réforme de l'imposition des entreprises II, en vigueur depuis le 1erjanv. 2009 (RO20082893; FF20054469).</w:t>
      </w:r>
    </w:p>
    <w:p>
      <w:r>
        <w:t>L'impôt sur le bénéfice a pour objet le bénéfice net.</w:t>
      </w:r>
    </w:p>
    <w:p>
      <w:r>
        <w:t>1Le bénéfice net imposable comprend:</w:t>
      </w:r>
    </w:p>
    <w:p>
      <w:r>
        <w:t>a. le solde du compte de résultats, compte tenu du solde reporté de l'exercice précédent;</w:t>
      </w:r>
    </w:p>
    <w:p>
      <w:r>
        <w:t>b. tous les prélèvements opérés sur le résultat commercial avant le calcul du solde du compte de résultat, qui ne servent pas à couvrir des dépenses justifiées par l'usage commercial, tels que:</w:t>
      </w:r>
    </w:p>
    <w:p>
      <w:r>
        <w:t>- les frais d'acquisition, de production ou d'amélioration d'actifs immobilisés;</w:t>
      </w:r>
    </w:p>
    <w:p>
      <w:r>
        <w:t>- les amortissements et les provisions qui ne sont pas justifiés par l'usage commercial;</w:t>
      </w:r>
    </w:p>
    <w:p>
      <w:r>
        <w:t>- les versements aux fonds de réserve;</w:t>
      </w:r>
    </w:p>
    <w:p>
      <w:r>
        <w:t>- la libération du capital propre au moyen de fonds appartenant à la personne morale, à condition qu'ils proviennent de réserves constituées par des bénéfices qui n'ont pas été imposés;</w:t>
      </w:r>
    </w:p>
    <w:p>
      <w:r>
        <w:t>- les distributions ouvertes ou dissimulées de bénéfice et les avantages procurés à des tiers qui ne sont pas justifiés par l'usage commercial;</w:t>
      </w:r>
    </w:p>
    <w:p>
      <w:r>
        <w:t>c. les produits qui n'ont pas été comptabilisés dans le compte de résultats, y compris les bénéfices en capital, les bénéfices de réévaluation et de liquidation, sous réserve de l'art. 64. Le transfert à l'étranger du siège, de l'administration, d'une entreprise ou d'un établissement stable est assimilé à une liquidation.</w:t>
      </w:r>
    </w:p>
    <w:p>
      <w:r>
        <w:t>2Le bénéfice net imposable des personnes morales qui n'établissent pas de compte de résultats se détermine d'après l'al. 1 qui est applicable par analogie.</w:t>
      </w:r>
    </w:p>
    <w:p>
      <w:r>
        <w:t>3Les prestations que des entreprises d'économie mixte remplissant une tâche d'intérêt public fournissent, de manière prépondérante, à des entreprises qui leur sont proches sont évaluées au prix actuel du marché, à leur coût actuel de production majoré d'une marge appropriée ou à leur prix de vente final actuel diminué d'une marge de bénéfice; le résultat de chaque entreprise est ajusté en conséquence.</w:t>
      </w:r>
    </w:p>
    <w:p>
      <w:r>
        <w:t>1Les personnes physiques doivent joindre à leur déclaration notamment:</w:t>
      </w:r>
    </w:p>
    <w:p>
      <w:r>
        <w:t>a. les certificats de salaire concernant tous les revenus provenant d'une activité lucrative dépendante;</w:t>
      </w:r>
    </w:p>
    <w:p>
      <w:r>
        <w:t>b. les attestations concernant les prestations que le contribuable a obtenues en sa qualité de membre de l'administration ou d'un autre organe d'une personne morale;</w:t>
      </w:r>
    </w:p>
    <w:p>
      <w:r>
        <w:t>c. l'état complet des titres et des créances, ainsi que celui des dettes.</w:t>
      </w:r>
    </w:p>
    <w:p>
      <w:r>
        <w:t>2Les personnes physiques dont le revenu provient d'une activité lucrative indépendante et les personnes morales doivent joindre à leur déclaration:</w:t>
      </w:r>
    </w:p>
    <w:p>
      <w:r>
        <w:t>a. les comptes annuels signés (bilan, compte de résultats) concernant la période fiscale; ou</w:t>
      </w:r>
    </w:p>
    <w:p>
      <w:r>
        <w:t>b. en cas de tenue d'une comptabilité simplifiée en vertu de l'art. 957, al. 2, CO1: un relevé des recettes et des dépenses, de l'état de la fortune ainsi que des prélèvements et apports privés concernant la période fiscale.2</w:t>
      </w:r>
    </w:p>
    <w:p>
      <w:r>
        <w:t>3Pour la taxation de l'impôt sur le bénéfice, les sociétés de capitaux et les sociétés coopératives doivent en outre indiquer, à la fin de la période fiscale ou de l'assujettissement, le montant de leur capital propre. Ce capital propre comprend le capital-actions ou le capital social libéré, les apports, les agios et les versements supplémentaires au sens de l'art. 20, al. 3, portés au bilan commercial, les réserves ouvertes et les réserves latentes constituées au moyen de bénéfices imposés ainsi que la part des fonds étrangers qui est économiquement assimilable au capital propre.34</w:t>
      </w:r>
    </w:p>
    <w:p>
      <w:r>
        <w:t>1RS2202Nouvelle teneur selon le ch. I 2 de la L du 20 juin 2014 sur la remise de l'impôt, en vigueur depuis le 1erjanv. 2016 (RO20159;FF20137549).3Nouvelle teneur de la phrase selon le ch. II 2 de la L du 23 mars 2007 sur la réforme de l'imposition des entreprises II, en vigueur depuis le 1erjanv. 2011 (RO20082893;FF20054469).4Introduit par le ch. I 1 de la LF du 10 oct. 1997 sur la réforme 1997 de l'imposition des sociétés, en vigueur depuis le 1erjanv. 1998 (RO1998669; FF1997II 1058).</w:t>
      </w:r>
    </w:p>
    <w:p>
      <w:r>
        <w:t>1Le contribuable doit faire tout ce qui est nécessaire pour assurer une taxation complète et exacte.</w:t>
      </w:r>
    </w:p>
    <w:p>
      <w:r>
        <w:t>2Sur demande de l'autorité de taxation, il doit notamment fournir des renseignements oraux ou écrits, présenter ses livres comptables, les pièces justificatives et autres attestations ainsi que les pièces concernant ses relations d'affaires.</w:t>
      </w:r>
    </w:p>
    <w:p>
      <w:r>
        <w:t>3Les personnes physiques qui exercent une activité lucrative indépendante et les personnes morales doivent conserver pendant dix ans les livres ou les relevés prévus à l'art. 125, al. 2, ainsi que les pièces justificatives en relation avec leur activité. Le mode de tenue et de conservation de ces documents est régi par les art. 957 à 958fCO1.23</w:t>
      </w:r>
    </w:p>
    <w:p>
      <w:r>
        <w:t>1RS2202Nouvelle teneur de la seconde phrase selon le ch. I 2 de la L du 20 juin 2014 sur la remise de l'impôt, en vigueur depuis le 1erjanv. 2016 (RO20159;FF20137549).3Nouvelle teneur selon le ch. II 1 de la LF de la LF du 22 déc. 1999, en vigueur depuis le 1erjuin 2002 (RO2002949;FF19994753).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