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CDP.2017.351 vom 8. März 2018</w:t>
      </w:r>
    </w:p>
    <w:p>
      <w:r>
        <w:t>NE Tribunal cantonal, 2018-03-08, FR</w:t>
      </w:r>
    </w:p>
    <w:p>
      <w:r>
        <w:rPr>
          <w:b/>
        </w:rPr>
        <w:t xml:space="preserve">Quelle: </w:t>
      </w:r>
      <w:r>
        <w:t>https://mcp.opencaselaw.ch/entscheid/ne_gerichte_CDP.2017.351</w:t>
      </w:r>
    </w:p>
    <w:p>
      <w:r>
        <w:t>FR: NE_GERICHTE CDP.2017.351 du 8 mars 2018</w:t>
      </w:r>
    </w:p>
    <w:p>
      <w:r>
        <w:t>IT: NE_GERICHTE CDP.2017.351 del 8 marzo 2018</w:t>
      </w:r>
    </w:p>
    <w:p>
      <w:pPr>
        <w:pStyle w:val="Heading2"/>
      </w:pPr>
      <w:r>
        <w:t>Erwägungen</w:t>
      </w:r>
    </w:p>
    <w:p>
      <w:r>
        <w:rPr>
          <w:b/>
        </w:rPr>
        <w:t>E. 1</w:t>
      </w:r>
    </w:p>
    <w:p>
      <w:r>
        <w:t>Interjeté dans les formes et délai légaux, le recours est recevable.</w:t>
      </w:r>
    </w:p>
    <w:p>
      <w:r>
        <w:rPr>
          <w:b/>
        </w:rPr>
        <w:t>E. 2</w:t>
      </w:r>
    </w:p>
    <w:p>
      <w:r>
        <w:t>a) Un principe fondamental de l’aménagement du territoire prescrit qu’aucune construction ou installation ne peut être créée ou transformée sans autorisation de l’autorité compétente (art. 22 al. 1 LAT). La délivrance de l’autorisation nécessite en particulier que l’installation soit conforme à l’affectation de la zone (art. 22 al. 2 let. a LAT) ou que le requérant puisse se prévaloir d’une exception à ce principe de la conformité à l’affectation de la zone. En l'espèce, il n'est pas contesté que le couvert est une construction ou installation au sens de l'article 22 LAT et de la réglementation cantonale et que sa mise en place est ainsi soumise à autorisation. b) Le recourant allègue que la construction est conforme à la zone d'utilisation différée, dans laquelle les règles de la zone agricole s'appliquent. L'article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du 28 juin 2000 (OAT), principalement à l'article 34 OAT . A teneur de l'article 16a al. 1, 1 re phrase LAT , sont conformes à l’affectation de la zone agricole les constructions et installations qui sont nécessaires à l’exploitation agricole ou à l’horticulture productrice. En d'autres termes, seules les constructions dont la destination correspond à la vocation agricole du sol peuvent y être autorisées, le sol devant être le facteur de production primaire et indispensable ( ATF 125 II 278 cons. 3a). L'article 34 al. 1 OAT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l'article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 Par ailleurs, des constructions ou installations liées à la production hors-sol peuvent être admises en zone agricole sur la base de l'article 16a al. 2 LAT , pour autant qu'elles servent au développement interne de l'exploitation. Il y a "développement interne" lorsqu'un secteur de production non tributaire du sol – garde d'animaux de rente (art. 36 OAT), cultures maraîchères ou horticoles indépendantes du sol (art. 37 OAT ) – est adjoint à une exploitation tributaire de façon prépondérante du sol afin que la viabilité de cette exploitation soit assurée (Message du Conseil fédéral relatif à la révision partielle de la LAT, FF 1996 III 489). c) Dans le cas d'espèce, la culture des fleurs et des arbustes étant effectuée en plaine, on ne saurait considérer que la construction litigieuse sert à l'exploitation tributaire du sol. Par ailleurs, on ne saurait retenir que le hangar sert à l'horticulture selon un mode de production indépendant du sol lié à une exploitation tributaire de façon prépondérante du sol afin que la viabilité de cette exploitation soit assurée. En effet, le stockage des plantations jusqu'à leur maturité ne constitue pas une production horticole indépendante du sol. Enfin, le hangar servant à l'entreposage des plantes n'a pas sa place en zone agricole au sens de l'article 34 al. 2 OAT , étant donné que les produits horticoles ne proviennent nullement de l'exploitation où se trouve la construction litigieuse (cf. à cet égard également ATF 129 II 413 cons. 3). Enfin, la formation d'apprenants est étrangère aux critères retenus par le législateur pour juger de la conformité à la zone agricole.</w:t>
      </w:r>
    </w:p>
    <w:p>
      <w:r>
        <w:rPr>
          <w:b/>
        </w:rPr>
        <w:t>E. 3</w:t>
      </w:r>
    </w:p>
    <w:p>
      <w:r>
        <w:t>a) Le recourant soulève également le grief de la violation du principe de l'égalité de traitement, lequel, consacré par l'article 8 Cst. féd., est violé lorsqu'une décision établit des distinctions juridiques qui ne se justifient par aucun motif raisonnable au regard de la situation de fond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 ATF 134 I 23 cons. 9.1 et la jurisprudence citée). X.________ voit une inégalité de traitement dans le fait que si son exploitation se trouvait en plaine, il pourrait installer une serre amovible ou un tunnel agricole. Or, il s'agit là d'une situation qui n'est pas semblable à la sienne et que le législateur a précisément traitée différemment si bien que ce grief doit être rejeté.</w:t>
      </w:r>
    </w:p>
    <w:p>
      <w:r>
        <w:rPr>
          <w:b/>
        </w:rPr>
        <w:t>E. 4</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 sont de la compétence du département pour les constructions ou installations hors de la zone d'urbanisation (art. 46a LConstr .).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[CDP.2012.106] cons. 8c).</w:t>
      </w:r>
    </w:p>
    <w:p>
      <w:r>
        <w:rPr>
          <w:b/>
        </w:rPr>
        <w:t>E. 5</w:t>
      </w:r>
    </w:p>
    <w:p>
      <w:r>
        <w:t>En l'occurrence, la pesée des intérêts amène à la conclusion que le principe de proportionnalité n'a pas été violé. Force est de constater en effet que la violation du droit matériel ne saurait être qualifiée de peu d'importance, la construction se trouvant en zone agricole et présentant une longueur de 15 mètres, une largeur de 5 mètres et une hauteur de 2,5 mètres. Concernant la pesée des intérêts, le Conseil d'Etat estime que le département n'a pas commis d'abus ou d'excès de son pouvoir d'appréciation étant donné que la construction litigieuse coûtait environ 2'000 francs et que sa déconstruction peut être effectuée en une demi-journée. Il y a lieu de rappeler ici que le principe de la séparation des zones constructibles et non constructibles est un des principes du droit fédéral de l'aménagement du territoire les plus importants (cf. notamment ATF 132 II 21 cons. 6.4; JT 2006 I 707 cons. 6.4). Par ailleurs, l'intérêt public s'oppose à l'intérêt privé du recourant qui est principalement d'ordre patrimonial. L'intérêt financier ne revêt qu'un poids restreint face à l'intérêt public au rétablissement d'une situation conforme au droit ( ATF 141 II 476 ). Le recourant ne conteste pas que les frais de démolition sont peu élevés, mais fait valoir que cette dernière le place d'un point de vue professionnel dans une situation problématique. Il doit toutefois s'en accommoder, étant donné qu'il a procédé à la construction en toute illégalité et que cette démolition ne fait que le replacer dans la situation qui était la sienne auparavant. Dès lors, c'est avec raison que le Conseil d'Etat a estimé que le département n'avait pas abusé de son large pouvoir d'appréciation.</w:t>
      </w:r>
    </w:p>
    <w:p>
      <w:r>
        <w:rPr>
          <w:b/>
        </w:rPr>
        <w:t>E. 6</w:t>
      </w:r>
    </w:p>
    <w:p>
      <w:r>
        <w:t>Il suit de ce qui précède que le recours doit être rejeté. Vu le sort de la cause, les frais doivent être mis à la charge du recourant (art. 47 al. 1 LPJA ) et ce dernier ne peut prétendre à des dépens (art. 48 al. 1 a contrario LPJA ).</w:t>
      </w:r>
    </w:p>
    <w:p>
      <w:r>
        <w:rPr>
          <w:b/>
        </w:rPr>
        <w:t>E. 23</w:t>
      </w:r>
    </w:p>
    <w:p>
      <w:r>
        <w:t>mars 2007, en vigueur depuis le 1ersept. 2007 (RO20073637;FF20056629).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1Sont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w:t>
      </w:r>
    </w:p>
    <w:p>
      <w:r>
        <w:t>a. la production de denrées se prêtant à la consommation et à la transformation et provenant de la culture de végétaux et de la garde d'animaux de rente;</w:t>
      </w:r>
    </w:p>
    <w:p>
      <w:r>
        <w:t>b. l'exploitation de surfaces proches de leur état naturel.</w:t>
      </w:r>
    </w:p>
    <w:p>
      <w:r>
        <w:t>2Sont en outre conformes à l'affectation de la zone les constructions et installations qui servent à la préparation, au stockage ou à la vente de produits agricoles ou horticoles:</w:t>
      </w:r>
    </w:p>
    <w:p>
      <w:r>
        <w:t>a. si ces derniers sont produits dans la région et que plus de la moitié d'entre eux proviennent de l'exploitation où se trouvent lesdites constructions et installations ou d'exploitations appartenant à une communauté de production;</w:t>
      </w:r>
    </w:p>
    <w:p>
      <w:r>
        <w:t>b. si la préparation, le stockage ou la vente ne revêt pas un caractère industriel; et</w:t>
      </w:r>
    </w:p>
    <w:p>
      <w:r>
        <w:t>c. si l'exploitation où se trouve lesdites constructions et installations conserve son caractère agricole ou horticole.</w:t>
      </w:r>
    </w:p>
    <w:p>
      <w:r>
        <w:t>3Sont enfin conformes à l'affectation de la zone les constructions qui servent au logement indispensable à l'entreprise agricole, y compris le logement destiné à la génération qui prend sa retraite.</w:t>
      </w:r>
    </w:p>
    <w:p>
      <w:r>
        <w:t>4Une autorisation ne peut être délivrée que:</w:t>
      </w:r>
    </w:p>
    <w:p>
      <w:r>
        <w:t>a. si la construction ou l'installation est nécessaire à l'exploitation en question;</w:t>
      </w:r>
    </w:p>
    <w:p>
      <w:r>
        <w:t>b. si aucun intérêt prépondérant ne s'oppose à l'implantation de la construction ou de l'installation à l'endroit prévu; et</w:t>
      </w:r>
    </w:p>
    <w:p>
      <w:r>
        <w:t>c. s'il est prévisible que l'exploitation pourra subsister à long terme.</w:t>
      </w:r>
    </w:p>
    <w:p>
      <w:r>
        <w:t>5Les constructions et installations qui servent à l'agriculture pratiquée en tant que loisir ne sont pas réputées conformes à l'affectation de la zone agricole.</w:t>
      </w:r>
    </w:p>
    <w:p>
      <w:r>
        <w:t>1L'édification de constructions et installations destinées à la culture maraîchère et à l'horticulture selon un mode de production indépendant du sol est réputée développement interne (art. 16a,al. 2, LAT) si la surface de production indépendante du sol n'excède pas 35 % de la surface maraîchère ou horticole cultivée et n'est pas supérieure à 5000 m2.1</w:t>
      </w:r>
    </w:p>
    <w:p>
      <w:r>
        <w:t>2La production est réputée indépendante du sol s'il n'y a pas de lien suffisamment étroit avec le sol.</w:t>
      </w:r>
    </w:p>
    <w:p>
      <w:r>
        <w:t>1Nouvelle teneur selon le ch. I de l'O du 4 juil. 2007, en vigueur depuis le 1ersept. 2007 (RO20073641).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