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CDP.2017.297 vom 19. Juni 1992</w:t>
      </w:r>
    </w:p>
    <w:p>
      <w:r>
        <w:t>NE Tribunal cantonal, 1992-06-19, FR</w:t>
      </w:r>
    </w:p>
    <w:p>
      <w:r>
        <w:rPr>
          <w:b/>
        </w:rPr>
        <w:t xml:space="preserve">Quelle: </w:t>
      </w:r>
      <w:r>
        <w:t>https://mcp.opencaselaw.ch/entscheid/ne_gerichte_CDP.2017.297_d19920619</w:t>
      </w:r>
    </w:p>
    <w:p>
      <w:r>
        <w:t>FR: NE_GERICHTE CDP.2017.297 du 19 juin 1992</w:t>
      </w:r>
    </w:p>
    <w:p>
      <w:r>
        <w:t>IT: NE_GERICHTE CDP.2017.297 del 19 giugno 1992</w:t>
      </w:r>
    </w:p>
    <w:p>
      <w:pPr>
        <w:pStyle w:val="Heading2"/>
      </w:pPr>
      <w:r>
        <w:t>Regeste</w:t>
      </w:r>
    </w:p>
    <w:p>
      <w:r>
        <w:t>Imposition d'une prestation en nature d'un bien immobilier, propriété du conjoint, fixée par ordonnance de mesures provisoires de l'union conjugale.</w:t>
      </w:r>
    </w:p>
    <w:p>
      <w:pPr>
        <w:pStyle w:val="Heading2"/>
      </w:pPr>
      <w:r>
        <w:t>Erwägungen</w:t>
      </w:r>
    </w:p>
    <w:p>
      <w:r>
        <w:rPr>
          <w:b/>
        </w:rPr>
        <w:t>E. 1</w:t>
      </w:r>
    </w:p>
    <w:p>
      <w:r>
        <w:t>3500 francs pour les époux vivant en ménage commun,</w:t>
      </w:r>
    </w:p>
    <w:p>
      <w:r>
        <w:rPr>
          <w:b/>
        </w:rPr>
        <w:t>E. 2</w:t>
      </w:r>
    </w:p>
    <w:p>
      <w:r>
        <w:t>être représenté dans un parlement cantonal,</w:t>
      </w:r>
    </w:p>
    <w:p>
      <w:r>
        <w:rPr>
          <w:b/>
        </w:rPr>
        <w:t>E. 3</w:t>
      </w:r>
    </w:p>
    <w:p>
      <w:r>
        <w:t>avoir obtenu au moins 3 % des voix lors des dernières élections au parlement d'un canton;</w:t>
      </w:r>
    </w:p>
    <w:p>
      <w:r>
        <w:t>m.11un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n.12les mises, à hauteur d'un pourcentage déterminé par le droit cantonal pour les gains de loterie ou d'opérations analogues; les cantons peuvent fixer le montant maximal de la déduction;</w:t>
      </w:r>
    </w:p>
    <w:p>
      <w:r>
        <w:t>o.13les frais de formation et de formation continue à des fins professionnelles, frais de reconversion compris, jusqu'à concurrence d'un montant déterminé par le droit cantonal pour autant que le contribuable remplisse l'une des condistions suivantes:</w:t>
      </w:r>
    </w:p>
    <w:p>
      <w:r>
        <w:t>1. il est titulaire d'un diplôme du degré secondaire II,</w:t>
      </w:r>
    </w:p>
    <w:p>
      <w:r>
        <w:t>2. il a atteint l'âge de 20 ans et suit une formation visant à l'obtention d'un diplôme autre qu'un premier diplôme du degré secondaire II.</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suivante:14</w:t>
      </w:r>
    </w:p>
    <w:p>
      <w:r>
        <w:t>a.15le Département fédéral des finances détermine en collaboration avec les cantons quels investissements destinés à économiser l'énergie et à ménager l'environnement peuvent être assimilés à des frais d'entretien; les frais de démolition en vue d'une construction de remplacement sont assimilés aux frais d'entretien.</w:t>
      </w:r>
    </w:p>
    <w:p>
      <w:r>
        <w:t>b.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3bisLes coûts d'investissement et les frais de démolition en vue d'une construction de remplacement visés à l'al. 3, let. a, sont déductibles au cours des deux périodes fiscales suivantes, lorsqu'ils ne peuvent pas être entièrement pris en considération durant la période fiscale en cours, pendant laquelle les dépenses ont été effectuées.16</w:t>
      </w:r>
    </w:p>
    <w:p>
      <w:r>
        <w:t>4On n'admettra pas d'autres déductions. Les déductions pour enfants et autres déductions sociales de droit cantonal sont réservées.</w:t>
      </w:r>
    </w:p>
    <w:p>
      <w:r>
        <w:t>1Nouvelle teneur selon le ch. II 2 de la LF du 21 juin 2013 sur le financement et l'aménagement de l'infrastructure ferroviaire, en vigueur depuis le 1erjanv. 2016 (RO2015651;FF20121371).2Nouvelle teneur selon le ch. II 3 de la LF du 23 mars 2007 sur la réforme de l'imposition des entreprises II, en vigueur depuis le 1erjanv. 2009 (RO20082893;FF20054469).3Nouvelle teneur selon le ch. I 6 de la LF du 19 mars 1999 sur le programme de stabilisation 1998, en vigueur depuis le 1erjanv. 2001 (RO19992374;FF19993).4Nouvelle teneur selon le ch. 4 de l'annexe à la LF du 18 juin 2004, en vigueur depuis le 1erjanv. 2005 (RO20044635;FF20035835).5Nouvelle teneur selon le ch. 3 de l'annexe à la LF du 13 déc. 2002 sur l'égalité pour les handicapés, en vigueur depuis le 1erjanv. 2005 (RO20034487;FF20011605).6Introduite par le ch. 3 de l'annexe à la LF du 13 déc. 2002 sur l'égalité pour les handicapés, en vigueur depuis le 1erjanv. 2005 (FF20011605).7RS151.38Nouvelle teneur selon le ch. 4 de l'annexe à la LF du 8 oct. 2004 (Droit des fondations), en vigueur depuis le 1erjanv. 2006 (RO20054545;FF200374257463).9Introduite par le ch. I 2 de la LF du 12 juin 2009 sur la déductibilité des versements en faveur de partis politiques, en vigueur depuis le 1erjanv. 2011 (RO2010449;FF200868236845).10RS161.111Introduite par le ch. I 2 de la LF du 25 sept. 2009 sur les allégements fiscaux en faveur des familles avec enfants, en vigueur depuis le 1erjanv. 2011 (RO2010455;FF20094237). Rectifiée par la CdR de l'Ass. féd. (art. 58, al. 1, LParl; RS171.10).12Introduite par le ch. I 2 de la LF du 15 juin 2012 sur les simplifications de l'imposition des gains faits dans les loteries, en vigueur depuis le 1erjanv. 2014 (RO20125977;FF201160366059).13Introduite par le ch. I 2 de la LF sur l'imposition des frais de formation et de perfectionnement à des fins professionnelles, en vigueur depuis le 1erjanv. 2016 (RO20141105;FF20112429).14Nouvelle teneur selon le ch. I 2 de la LF du 3 oct. 2008 sur le traitement fiscal des frais de remise en état des immeubles, en vigueur depuis le 1erjanv. 2010 (RO20091515;FF200775017517).15Nouvelle teneur selon le ch. II 4 de l'annexe à la L du 30 sept. 2016 sur l'énergie, en vigueur depuis le 1erjanv. 2018 (RO20176839;FF20136771).16Nouvelle teneur selon le ch. II 4 de l'annexe à la L du 30 sept. 2016 sur l'énergie, en vigueur depuis le 1erjanv. 2018 (RO20176839;FF20136771).</w:t>
      </w:r>
    </w:p>
    <w:p>
      <w:r>
        <w:rPr>
          <w:b/>
        </w:rPr>
        <w:t>E. 4</w:t>
      </w:r>
    </w:p>
    <w:p>
      <w:r>
        <w:t>Il convient de distinguer d’une part une pension en espèces, laquelle est fiscalement imposable ou déductible à hauteur d’un montant arrêté par les parties ou par le juge et, d’autre part, une pension en nature qui, dans le cas d’une mise à disposition gratuite d’un logement par un ex-conjoint – propriétaire du bien immobilier en question –, correspond à la valeur locative. La fixation de ladite valeur n’est pas laissée à la libre disposition des parties, à mesure qu’une règle légale en prévoit expressément le calcul et que celui-ci correspond à des règles uniformément admises. En l’espèce, ainsi que le relève l’intimé dans ses observations du 27 novembre 2017, la valeur locative brut de l’immeuble en question ascende à 26'208 francs, montant que B.X.________ doit dès lors déclarer fiscalement et qu’il peut ensuite déduire des pensions alimentaires dans sa déclaration fiscale. En contrepartie, selon le principe de la concordance, la recourante doit être imposée sur ce même montant au titre de pension en nature. Il apparaît conséquemment que, le montant retenu dans la taxation litigieuse (CHF 25'200) étant inférieur à celui qu’il aurait dû être (CHF 26'208), la recourante a été favorisée, tant s’agissant de l'IFD que de l'ICC. La modification sur ce point de la décision litigieuse pourrait conduire à une reformatio in pejus au sens de l’article 43 al. 3 LPJA , auquel renvoie l’article 216d LCdir . Elle suppose cependant, outre le respect du droit d’être entendu du contribuable, que la décision soit manifestement erronée et que la correction revête une importance notable ( Casanova/Dubey, in Noël/Aubry Girardin (éditeurs), Commentaire romand de la loi sur l’impôt fédéral direct, 2017, no 4 ad art. 143 LIFD et les références citées). Au regard du faible montant en jeu s’agissant du total des impôts, on doit toutefois considérer que le critère de l'importance notable ne serait pas, à supposer que la modification soit effectuée, rempli. Mal fondé, le recours doit être rejeté.</w:t>
      </w:r>
    </w:p>
    <w:p>
      <w:r>
        <w:rPr>
          <w:b/>
        </w:rPr>
        <w:t>E. 5</w:t>
      </w:r>
    </w:p>
    <w:p>
      <w:r>
        <w:t>Les considérants qui précèdent conduisent au rejet du recours en tant qu'il concerne l'IFD et l'ICC pour la période fiscale 2015. Succombant, la recourante doit supporter les frais judiciaires , compensés par son avance (art. 47 al. 1 LPJA ). Elle ne peut dès lors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