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CDP.2017.227 vom 23. April 2024</w:t>
      </w:r>
    </w:p>
    <w:p>
      <w:r>
        <w:t>NE Tribunal cantonal, 2024-04-23, FR</w:t>
      </w:r>
    </w:p>
    <w:p>
      <w:r>
        <w:rPr>
          <w:b/>
        </w:rPr>
        <w:t xml:space="preserve">Quelle: </w:t>
      </w:r>
      <w:r>
        <w:t>https://mcp.opencaselaw.ch/entscheid/ne_gerichte_CDP.2017.227_d20240423</w:t>
      </w:r>
    </w:p>
    <w:p>
      <w:r>
        <w:t>FR: NE_GERICHTE CDP.2017.227 du 23 avril 2024</w:t>
      </w:r>
    </w:p>
    <w:p>
      <w:r>
        <w:t>IT: NE_GERICHTE CDP.2017.227 del 23 aprile 2024</w:t>
      </w:r>
    </w:p>
    <w:p>
      <w:pPr>
        <w:pStyle w:val="Heading2"/>
      </w:pPr>
      <w:r>
        <w:t>Regeste</w:t>
      </w:r>
    </w:p>
    <w:p>
      <w:r>
        <w:t>Prestations complémentaires : revenu hypothétique de l’époux.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Vu ce qui précède, le recours est irrecevable. Les frais de la procédure devant l’Autorité de céans sont arrêtés à 500 francs et mis à la charge de la recourante, à qui la différence avec son avance de frais de 1'000 francs sera restituée. Il n’y a pas lieu à allocation de dépens, les prévenus n’ayant pas été invités à se déterminer sur le recours.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