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CDP.2017.201 vom 19. Januar 2018</w:t>
      </w:r>
    </w:p>
    <w:p>
      <w:r>
        <w:t>NE Tribunal cantonal, 2018-01-19, FR</w:t>
      </w:r>
    </w:p>
    <w:p>
      <w:r>
        <w:rPr>
          <w:b/>
        </w:rPr>
        <w:t xml:space="preserve">Quelle: </w:t>
      </w:r>
      <w:r>
        <w:t>https://mcp.opencaselaw.ch/entscheid/ne_gerichte_CDP.2017.201</w:t>
      </w:r>
    </w:p>
    <w:p>
      <w:r>
        <w:t>FR: NE_GERICHTE CDP.2017.201 du 19 janvier 2018</w:t>
      </w:r>
    </w:p>
    <w:p>
      <w:r>
        <w:t>IT: NE_GERICHTE CDP.2017.201 del 19 gennaio 2018</w:t>
      </w:r>
    </w:p>
    <w:p>
      <w:pPr>
        <w:pStyle w:val="Heading2"/>
      </w:pPr>
      <w:r>
        <w:t>Erwägungen</w:t>
      </w:r>
    </w:p>
    <w:p>
      <w:r>
        <w:rPr>
          <w:b/>
        </w:rPr>
        <w:t>E. 1</w:t>
      </w:r>
    </w:p>
    <w:p>
      <w:r>
        <w:t>Interjeté dans les formes et délai légaux, le recours est recevable.</w:t>
      </w:r>
    </w:p>
    <w:p>
      <w:r>
        <w:rPr>
          <w:b/>
        </w:rPr>
        <w:t>E. 2</w:t>
      </w:r>
    </w:p>
    <w:p>
      <w:r>
        <w:t>Il n'est pas contesté que la construction, contraire à la zone agricole, doit en l'occurrence faire l'objet d'une dérogation. Les recourants concluent à l'octroi d'une dérogation sans toutefois mentionner en quoi la décision du Conseil d'Etat serait erronée dans la mesure où elle retient que la construction n'était pas imposée par sa destination. Il n'y a dès lors pas lieu d'entrer en matière sur ce grief dépourvu de toute motivation, tout en relevant que, comme mentionné par le Conseil d'Etat, la réalisation d'économies ou le confort d'un bâtiment ne suffisent pas pour que l'implantation puisse être considérée comme imposée par sa destination.</w:t>
      </w:r>
    </w:p>
    <w:p>
      <w:r>
        <w:rPr>
          <w:b/>
        </w:rPr>
        <w:t>E. 3</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 sont de la compétence du département pour les constructions ou installations hors de la zone d'urbanisation (art. 46a LConstr .).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[CDP.2012.106] cons. 8c).</w:t>
      </w:r>
    </w:p>
    <w:p>
      <w:r>
        <w:rPr>
          <w:b/>
        </w:rPr>
        <w:t>E. 4</w:t>
      </w:r>
    </w:p>
    <w:p>
      <w:r>
        <w:t>Les recourants refusent d'être présentés comme des personnes de mauvaise foi mais ne démontrent cependant pas qu'ils pouvaient de bonne foi se croire autorisés à construire par la commune. Certes, ils ont suivi de bonne foi les conseils des entrepreneurs. Cela ne suffit toutefois pas à protéger en l'occurrence leur bonne foi au sens de la Constitution fédérale. En effet,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 3.6.3, 137 I 69 cons. 2.5.1, 131 II 627 cons. 6.1). Pour que le justiciable puisse invoquer cette protection, il faut notamment que l'autorité ait donné à l'administré une assurance et qu'elle ait été compétente pour le faire ou que le justiciable ait pu la considérer comme telle ( ATF 137 II 182 cons. 3.6.2, 127 I 31 cons. 3a). En l'occurrence, les recourants ne se prévalent d'aucune assurance donnée par une autorité compétente qui leur aurait permis de croire qu'ils pouvaient construire sans autorisation. Par ailleurs, on peut attendre d'un administré qui entend ériger une construction qu'il se renseigne avant d'entamer des travaux (arrêts du TF des 14.11.2017 [1C_249/2017] cons. 4.2.2 et 07.12.2007 [1C_167/2007] cons. 6.2). Les circonstances dans lesquelles la réalisation des travaux a été décidée, soit l'impossibilité d'effectuer des travaux d'isolation dans les délais prévus à fin mars 2016 et le coût élevé desdits travaux, ne constituent pas des circonstances permettant de retenir que la décision entreprise viole le principe de la bonne foi tel que défini ci-dessus. Quoi qu'il en soit, même à supposer qu'il faille mettre les recourants au bénéfice de la bonne foi, la pesée des intérêts en cause amène à la conclusion que le principe de proportionnalité n'a pas été violé. Force est de constater en effet que la violation du droit matériel ne saurait être qualifiée de peu d'importance, la construction se trouvant en zone agricole et constituant en une pièce supplémentaire d'une surface brute de plancher utile supplémentaire de 22 m 2 et d'un volume apparent de 65 m 3 . Concernant la pesée des intérêts, le Conseil d'Etat renvoie à la décision du DDTE. C'est à bon droit que ce dernier a été soucieux des interventions injustifiées du point de vue agricole qui réduiraient à néant le principe de la protection du sol, de l'environnement et de la séparation entre la zone à bâtir et la zone agricole. En effet, le principe de la séparation des zones constructibles et non constructibles est un des principes du droit fédéral de l'aménagement du territoire les plus importants (cf. notamment ATF 132 II 21 cons. 6.4, JT 2006 I 707 cons. 6.4). Si les économies d'énergie sont d'actualité, elles ne sauraient toutefois permettre de tolérer des bâtiments non conformes à la zone agricole, sous peine de vider cette dernière de son sens et son contenu. Par ailleurs, l'intérêt public s'oppose à l'intérêt privé des recourants qui est principalement d'ordre patrimonial. L'intérêt financier ne revêt toutefois qu'un poids restreint face à l'intérêt public au rétablissement d'une situation conforme à la loi ( ATF 141 II 476 ). Certes, les frais de démolition risquent d'être élevés et de pénaliser A.X.________, voire ses héritiers. Il n'y a toutefois pas abus du pouvoir d'appréciation du département qui a considéré que, étant donné que l'emprise au sol du chalet n'a pas été étendue puisque l'extension se limite aux dimensions anciennes de la terrasse, un ordre de remise en état s'avérerait trop rigoureux et a toléré la construction à titre précaire. Il s'agit à l'évidence d'une mesure moins rigoureuse qu'une démolition, qui ne s'avère pas critiquable vu l'ensemble des circonstances précitées. C'est en vain que les recourants estiment que le DDTE a commis un déni de justice et a violé le droit d'être entendu. En effet, il a examiné quelle était la mesure la plus appropriée et a pris une décision. D'autre part, il n'était ni justifié ni réalisable d'entendre les personnes qui pourraient à l'avenir éventuellement être touchées par l'obligation de démolir. Il n'est certes pas exclu que l'obligation de remettre en état oblige les héritiers à vendre l'immeuble. Force est toutefois de rappeler que cette mesure est moins incisive qu'un ordre de démolition immédiat et que le recourant, qui a placé l'autorité devant un fait accompli, doit s'accommoder du fait que les autorités accordent une importance prépondérante au rétablissement d'une situation conforme au droit.</w:t>
      </w:r>
    </w:p>
    <w:p>
      <w:r>
        <w:rPr>
          <w:b/>
        </w:rPr>
        <w:t>E. 5</w:t>
      </w:r>
    </w:p>
    <w:p>
      <w:r>
        <w:t>a) Celui qui ne se sera pas conformé à une décision à lui signifiée, sous la menace de la peine prévue à l'article 292 CP, par une autorité ou un fonctionnaire compétent, sera puni d'une amende. Cette disposition tend à assurer, par la menace pénale, le respect des ordres valablement donnés par l'autorité compétente. L'ordre doit viser un cercle donné de personnes et doit être communiqué à ses destinataires ( Corboz , Les infractions en droit suisse, vol. II, p. 450; Petit commentaire du Code pénal, 2 e éd., 2017, n. 14 ad art. 292). b) Les recourants estiment qu'il n'était pas possible de menacer de l'amende les personnes non parties à la procédure. Or, l'injonction faite par le département a pour destinataire A.X.________. C'est à ce dernier qu'en cas de location ou de vente, il incombera de démolir l'extension illicite. Concernant ses héritiers, il y a lieu de relever qu'en principe tous les rapports de droit dont le défunt est sujet passif sont transmissibles au sens de l'article 560 CO (Commentaire romand du Code civil II, n. 20 ad art. 560). Ce grief est dès lors également mal fondé.</w:t>
      </w:r>
    </w:p>
    <w:p>
      <w:r>
        <w:rPr>
          <w:b/>
        </w:rPr>
        <w:t>E. 6</w:t>
      </w:r>
    </w:p>
    <w:p>
      <w:r>
        <w:t>a) Les recourants soulèvent également le grief de la violation du principe de l'égalité de traitement, lequel, consacré par l'article 8 Cst., est violé lorsqu'une décision établit des distinctions juridiques qui ne se justifient par aucun motif raisonnable au regard de la situation de fond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 ATF 134 I 23 cons. 9.1 et la jurisprudence citée). b) Les recourants voient une inégalité de traitement dans le fait que des dérogations ou des tolérances ont été accordées lors de constructions plus importantes avec des impacts concrets sur le territoire. Ils ne détaillent cependant aucunement les situations qu'ils visent et qui mériteraient qu'ils soient traités de façon identique. De plus, force est de relever qu'il est très rare que deux situations soient parfaitement identiques étant donné qu'il y a lieu, dans chaque cas d'espèce, de prendre en considération l'ensemble des circonstances.</w:t>
      </w:r>
    </w:p>
    <w:p>
      <w:r>
        <w:rPr>
          <w:b/>
        </w:rPr>
        <w:t>E. 7</w:t>
      </w:r>
    </w:p>
    <w:p>
      <w:r>
        <w:t>Il suit de ce qui précède que le recours doit être rejeté. Le dossier permettant de juger la cause en l'état, il n'est pas donné suite à la requête de vision locale. La requête d'effet suspensif, pour autant qu'elle soit pertinente, devient sans objet. Vu le sort de la cause, les frais doivent être mis à charge des recourants (art. 47 al. 1 LPJA ) et ces derniers ne peuvent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