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CDP.2017.123 vom 29. September 2017</w:t>
      </w:r>
    </w:p>
    <w:p>
      <w:r>
        <w:t>NE Tribunal cantonal, 2017-09-29, FR</w:t>
      </w:r>
    </w:p>
    <w:p>
      <w:r>
        <w:rPr>
          <w:b/>
        </w:rPr>
        <w:t xml:space="preserve">Quelle: </w:t>
      </w:r>
      <w:r>
        <w:t>https://mcp.opencaselaw.ch/entscheid/ne_gerichte_CDP.2017.123</w:t>
      </w:r>
    </w:p>
    <w:p>
      <w:r>
        <w:t>FR: NE_GERICHTE CDP.2017.123 du 29 septembre 2017</w:t>
      </w:r>
    </w:p>
    <w:p>
      <w:r>
        <w:t>IT: NE_GERICHTE CDP.2017.123 del 29 settembre 2017</w:t>
      </w:r>
    </w:p>
    <w:p>
      <w:pPr>
        <w:pStyle w:val="Heading2"/>
      </w:pPr>
      <w:r>
        <w:t>Erwägungen</w:t>
      </w:r>
    </w:p>
    <w:p>
      <w:r>
        <w:rPr>
          <w:b/>
        </w:rPr>
        <w:t>E. 1</w:t>
      </w:r>
    </w:p>
    <w:p>
      <w:r>
        <w:t>Interjeté dans les formes et délai légaux, le recours est recevable.</w:t>
      </w:r>
    </w:p>
    <w:p>
      <w:r>
        <w:rPr>
          <w:b/>
        </w:rPr>
        <w:t>E. 2</w:t>
      </w:r>
    </w:p>
    <w:p>
      <w:r>
        <w:t>Concernant le respect de la vie familiale consacré à l'article 8 CEDH et invoqué par le recourant, il faut rappeler que les relations visées par cette disposition sont avant tout celles qui existent entre époux ainsi qu'entre parents et enfants mineurs vivant en ménage commun ( ATF 135 I 143 , cons. 1.3.2; arrêt du TF du 05.12.2013 [2C_546/2013] cons. 4.1). Selon la jurisprudence, le parent qui n’a pas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 ATF 140 I 145 cons. 3.2), sachant que le contact peut être maintenu dans l’intervalle en recourant aux moyens modernes de télécommunications. Selon la jurisprudence constante du Tribunal fédéral, un droit plus étendu ne peut le cas échéant exister qu’en présence de liens familiaux particulièrement forts d’un point de vue non seulement affectif mais également économique, lorsque cette relation ne pourrait pratiquement pas être maintenue en raison de la distance qui sépare le pays de résidence de l’enfant du pays d’origine de son parent, et que l’étranger a fait preuve en Suisse d’un comportement irréprochable ( ATF 140 I 145 cons. 3.2; 139 I 315 cons. 2.2 et les arrêts cités). b) Avec raison, le SMIG puis le département ont considéré que le recourant n'entretenait pas avec son fils cadet des liens familiers particulièrement forts d'un point de vue affectif et économique. Ce n'est en effet qu'en avril 2016 que le recourant s'est adressé à l'Office de protection dans le but d'obtenir un droit de visite sur E. né le 31 mars 2014. Sa demande fait état du fait qu'il doit déposer un certain nombre de documents pour obtenir un permis de séjour par regroupement familial et semble motivée principalement par ce devoir. L'APEA a répondu à cette demande en instituant une curatelle aux relations personnelles par décision du 30 juin 2016. Ce n'est par ailleurs que depuis le 3 août 2016 que le recourant entretient des contacts réguliers avec son fils, soit le reçoit plusieurs jours successifs. Le fait que la relation entre le recourant et son fils cadet semble harmonieuse ne suffit pas à établir un lien affectif particulièrement fort. En effet, le département relate avec raison le passé de X. qui a laissé à D. la garde de son fils aîné pendant presque une année malgré la promesse qu'il allait les rejoindre rapidement et qui n'a pas assisté à la naissance de son fils cadet, qu'il n'a reconnu que le 30 avril 2015 lors d'un bref passage en Suisse du 18 avril au 13 mai 2015. L'ensemble de ces circonstances ne démontre pas une volonté d'entretenir dans la durée des contacts avec son fils cadet, les visites actuelles semblant bien plutôt motivées par le souhait d'obtenir une autorisation de séjour en Suisse. Par ailleurs, c'est également à juste titre que le département a tenu compte de l'institution d'une curatelle aux relations personnelles. En effet, l'APEA aurait pu, si la situation n'avait pas été problématique, instituer un droit de visite. La condition de liens affectifs particuliers n'étant pas remplie, c'est avec raison que le département n'a pas examiné ce qu'il en est d'un point de vue économique.</w:t>
      </w:r>
    </w:p>
    <w:p>
      <w:r>
        <w:rPr>
          <w:b/>
        </w:rPr>
        <w:t>E. 3</w:t>
      </w:r>
    </w:p>
    <w:p>
      <w:r>
        <w:t>a) Il est encore nécessaire d'examiner si le recourant et son fils aîné se trouvent dans un cas individuel d'extrême gravité. L'article 30 al. 1 let. b LEtr permet en effet de déroger aux conditions d'admission pour tenir compte de telles situations. L'article 31 al. 1 OASA précise que lors de l'appréciation à laquelle il faut procéder pour déterminer si l'étranger se trouve dans un cas individuel d'extrême gravité, il convient de tenir compte notamment de son intégration, de son respect de l'ordre juridique suisse, de sa situation familiale, de sa situation financière et de sa volonté de prendre part à la vie économique, de la durée de sa présence en Suisse, de son état de santé et des possibilités de réintégration dans l'Etat de provenance. Il ressort de la formulation de cette disposition que l’étranger ne peut en déduire aucun droit à l’octroi d’une autorisation de séjour. Il s’agit d’une disposition dérogatoire présentant un caractère exceptionnel. Cela signifie que les conditions d’existence de l’étranger, comparables à celles applicables à la moyenne des étrangers, doivent être mises en cause de manière accrue, autrement dit qu’une décision négative prise à son encontre comporte pour lui de graves conséquences. Lors de l’appréciation du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d’extrême gravité; encore faut-il que la relation avec la Suisse soit si étroite qu’on ne puisse exiger de lui qu’il aille vivre dans un autre pays, notamment dans son pays d’origine. b) Le fait que le recourant ait conclu un contrat de travail ne suffit pas à démontrer une intégration supérieure à la moyenne. Outre le fait que, comme le relève le département, on peut se poser la question d'un document établi pour les besoins de la cause, force est de constater que X. n'est pas en mesure de subvenir à ses besoins mais est entretenu par les membres de sa famille. C'est à tort que le recourant invoque que ses relations personnelles avec son fils cadet seront réduites à néant s'il doit retourner dans son pays. Comme susmentionné, les moyens électroniques à disposition permettent un contact régulier et on ne saurait considérer dès lors que l'intérêt supérieur de l'enfant, qui demeure avec sa mère, n'est pas pris en considération. Les séjours pour raisons touristiques à partir de 2005 ne sauraient être pris en compte pour déterminer la durée du séjour en Suisse. Enfin, la courte présence du recourant en Suisse s'inscrit dans une simple tolérance. C'est à tort que le recourant estime qu'il lui est reproché de ne pas avoir de problèmes de santé. La présence de tels problèmes pouvant dans certaines circonstances justifier un cas de rigueur, c'est à bon droit que le département a examiné cet aspect également. Enfin, le recourant a passé dans son pays d'origine les années de son enfance, de son adolescence et d'une partie de sa vie d'adulte, années qui apparaissent comme essentielles pour la formation de la personnalité et, partant, pour l'intégration sociale et culturelle (arrêts du TF du 19.05.2014 [2C_196/2014] cons. 4.2 et du 17.04.2013 [2C_1188/2012] cons. 4.2). Le dossier ne contient aucun élément permettant de retenir que les quelques attaches nouées en Suisses aient pu le rendre totalement étranger à son pays d'origine au point qu'il ne serait plus en mesure, après une période d'adaptation, d'y retrouver ses repères. On ne saurait par ailleurs considérer que le retour de C., scolarisé depuis août 2013, entraînerait pour lui un déracinement. Il est en effet totalement dépendant de son père qui exerce la garde sur lui et a vécu ses premières années dans son pays d'origine. Un enfant de dix ans est en effet à même de s'adapter rapidement à une nouvelle situation, ce d'autant plus qu'il a déjà vécu à l'Ile Maurice. c) L'examen de la situation du recourant et de son fils aîné amène à la conclusion qu'elle ne présente pas un cas individuel d'une extrême gravité. Le recourant n'invoque par ailleurs pas l'existence d'obstacles à son renvoi et le dossier ne fait pas apparaître que l'exécution de ce renvoi serait impossible, illicite ou inexigible au sens de l'article 83 al. 2-4 LEtr, de sorte que c'est à juste titre que le SMIG a ordonné le renvoi du père et du fils.</w:t>
      </w:r>
    </w:p>
    <w:p>
      <w:r>
        <w:rPr>
          <w:b/>
        </w:rPr>
        <w:t>E. 4</w:t>
      </w:r>
    </w:p>
    <w:p>
      <w:r>
        <w:t>Il suit des considérants qui précèdent que le recours se révèle mal fondé et qu'il doit être rejeté. Le délai de départ fixé par la décision du SMIG au 7 octobre 2016 étant échu, il convient de lui transmettre le dossier de la cause pour qu'il fixe aux intéressés un nouveau délai de départ. La requête visant l'octroi de l'effet suspensif devient dès lors sans objet. Vu le sort de la cause, les frais doivent être mis à la charge de l'intéressé qui succombe (art. 47 LPJA ). Il n'a en outre pas droit à une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