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CDP.2016.367 vom 23. November 2012</w:t>
      </w:r>
    </w:p>
    <w:p>
      <w:r>
        <w:t>NE Tribunal cantonal, 2012-11-23, FR</w:t>
      </w:r>
    </w:p>
    <w:p>
      <w:r>
        <w:rPr>
          <w:b/>
        </w:rPr>
        <w:t xml:space="preserve">Quelle: </w:t>
      </w:r>
      <w:r>
        <w:t>https://mcp.opencaselaw.ch/entscheid/ne_gerichte_CDP.2016.367_d20121123</w:t>
      </w:r>
    </w:p>
    <w:p>
      <w:r>
        <w:t>FR: NE_GERICHTE CDP.2016.367 du 23 novembre 2012</w:t>
      </w:r>
    </w:p>
    <w:p>
      <w:r>
        <w:t>IT: NE_GERICHTE CDP.2016.367 del 23 novembre 2012</w:t>
      </w:r>
    </w:p>
    <w:p>
      <w:pPr>
        <w:pStyle w:val="Heading2"/>
      </w:pPr>
      <w:r>
        <w:t>Regeste</w:t>
      </w:r>
    </w:p>
    <w:p>
      <w:r>
        <w:t>Autorisation de séjour pour études.</w:t>
      </w:r>
    </w:p>
    <w:p>
      <w:pPr>
        <w:pStyle w:val="Heading2"/>
      </w:pPr>
      <w:r>
        <w:t>Erwägungen</w:t>
      </w:r>
    </w:p>
    <w:p>
      <w:r>
        <w:rPr>
          <w:b/>
        </w:rPr>
        <w:t>E. 1</w:t>
      </w:r>
    </w:p>
    <w:p>
      <w:r>
        <w:t>Interjeté dans les formes et délai légaux, le recours est recevable.</w:t>
      </w:r>
    </w:p>
    <w:p>
      <w:r>
        <w:rPr>
          <w:b/>
        </w:rPr>
        <w:t>E. 2</w:t>
      </w:r>
    </w:p>
    <w:p>
      <w:r>
        <w:t>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et les références citées). Les demandes de réexamen ne sauraient, toutefois, servir à remettre continuellement en cause des décisions administratives entrées en force de chose jugée (ATF 137 II 177 cons. 2.1).</w:t>
      </w:r>
    </w:p>
    <w:p>
      <w:r>
        <w:rPr>
          <w:b/>
        </w:rPr>
        <w:t>E. 3</w:t>
      </w:r>
    </w:p>
    <w:p>
      <w:r>
        <w:t>Le SMIG est entré en matière sur la demande de reconsidération du recourant en examinant l'incidence du fait nouveau relatif à l'intention d'entreprendre un Master en droit, en informatique ou en psychologie du travail. Il a retenu que cette nouvelle circonstance n'était pas à même de remettre en cause la conclusion à laquelle il était initialement parvenu. a) En application de l'article 27 al. 1 LEtr , dans sa teneur en vigueur depuis le 1 er janvier 2011, un étranger peut être admis en vue d'une formation ou d'un perfectionnement aux conditions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L'article 23 al. 2 OASA , dans sa teneur en vigueur depuis le 1 er janvier 2011, dispose que les qualifications personnelles (art. 27 al. 1 let. d LEtr ) sont suffisantes notamment lorsque aucun séjour antérieur, aucune procédure de demande antérieure ni aucun autre élément n'indiquent que la formation ou le perfectionnement invoqués visent uniquement à éluder les prescriptions générales sur l'admission et le séjour des étrangers. En relation avec l'examen relatif aux qualifications personnelles, les autorités doivent continuer d'avoir la possibilité de vérifier que la demande n'a pas pour unique but d'obtenir frauduleusement un visa pour entrer en Suisse ou dans l'Espace Schengen (FF 2010, p. 373, spéc. p. 385; art. 23 al. 2 OASA). Une formation ou un perfectionnement n'est en principe admis que pour une durée maximale de huit ans. Des dérogations peuvent être accordées en vue d'une formation ou d'un perfectionnement visant un but précis (art. 23 al. 3 OASA dans sa teneur en vigueur depuis le 1 er janvier 2010). Conformément à l'article 24 OASA ,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b)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14.02.2013 [C-6702/2011] cons. 7.2.2 et les références citées, et du 19.6.2008 [C-513/2006] cons. 5.2). c) L'autorité intimée n'a pas abusé de son pouvoir d'appréciation en refusant de reconsidérer sa précédente décision au motif que le recourant n'avait pas de plan d'études. Dans son recours devant la Cour de céans, ce dernier indique maintenant avoir planifié ses études dans le but d'obtenir un Master en droit. Force est de constater que ce fait avait d'ores et déjà été pris en considération dans la première décision de refus du SMIG et ne saurait dès lors conduire à la reconsidération de cette dernière. Le recourant n'obtenant pas d'autorisation de séjour en Suisse, c'est également à bon droit que les autorités précédentes ont prononcé son renvoi, conformément à l'article 64 al. 1 let. c LEtr. L'intéressé n'invoque pas dans son recours, et a fortiori, ne démontre pas l'existence d'obstacles à son retour en Macédoine et le dossier ne fait pas non plus apparaître que l'exécution de ce renvoi serait impossible, illicite ou inexigible au sens de l'article 83 al. 2‑4 LEtr, de sorte que c'est à juste titre que les autorités inférieures ont ordonné l'exécution de cette mesure.</w:t>
      </w:r>
    </w:p>
    <w:p>
      <w:r>
        <w:rPr>
          <w:b/>
        </w:rPr>
        <w:t>E. 4</w:t>
      </w:r>
    </w:p>
    <w:p>
      <w:r>
        <w:t>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de l'intéressé qui succombe (art. 47 LPJA ). Il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