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CDP.2016.300 vom 31. August 2017</w:t>
      </w:r>
    </w:p>
    <w:p>
      <w:r>
        <w:t>NE Tribunal cantonal, 2017-08-31, FR</w:t>
      </w:r>
    </w:p>
    <w:p>
      <w:r>
        <w:rPr>
          <w:b/>
        </w:rPr>
        <w:t xml:space="preserve">Quelle: </w:t>
      </w:r>
      <w:r>
        <w:t>https://mcp.opencaselaw.ch/entscheid/ne_gerichte_CDP.2016.300</w:t>
      </w:r>
    </w:p>
    <w:p>
      <w:r>
        <w:t>FR: NE_GERICHTE CDP.2016.300 du 31 août 2017</w:t>
      </w:r>
    </w:p>
    <w:p>
      <w:r>
        <w:t>IT: NE_GERICHTE CDP.2016.300 del 31 agosto 2017</w:t>
      </w:r>
    </w:p>
    <w:p>
      <w:pPr>
        <w:pStyle w:val="Heading2"/>
      </w:pPr>
      <w:r>
        <w:t>Volltext</w:t>
      </w:r>
    </w:p>
    <w:p>
      <w:r>
        <w:t>7.b) Une partie est indigente lorsqu'elle ne peut assumer les frais liés à la défense de ses intérêts sans porter atteinte au minimum nécessaire à son entretien et à celui de sa famille (ATF128 I 225cons. 2.5.1,127 I 202cons.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du28.07.2010 [1B_228/2010]; ATF135 I 221cons.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(ATF124 I 1cons. 2c; arrêt du TF du26.05.2015 [4D_30/2015]cons. 3.1;Ruckstuhl, in Basler Kommentar, schweizerische Straf­prozess­ordnung 2011, n°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du06.10.2011 [2C_805/2011]cons. 3.1; ATF135 I 221cons. 5.1;RJN 2002, p. 243). Il ne saurait être question de retenir des charges que le requérant ne paie pas ou pas régulièrement (RJN 2002, p. 243 cons. 2b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