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CDP.2015.65 vom 14. Januar 2014</w:t>
      </w:r>
    </w:p>
    <w:p>
      <w:r>
        <w:t>NE Tribunal cantonal, 2014-01-14, FR</w:t>
      </w:r>
    </w:p>
    <w:p>
      <w:r>
        <w:rPr>
          <w:b/>
        </w:rPr>
        <w:t xml:space="preserve">Quelle: </w:t>
      </w:r>
      <w:r>
        <w:t>https://mcp.opencaselaw.ch/entscheid/ne_gerichte_CDP.2015.65_d20140114</w:t>
      </w:r>
    </w:p>
    <w:p>
      <w:r>
        <w:t>FR: NE_GERICHTE CDP.2015.65 du 14 janvier 2014</w:t>
      </w:r>
    </w:p>
    <w:p>
      <w:r>
        <w:t>IT: NE_GERICHTE CDP.2015.65 del 14 gennaio 2014</w:t>
      </w:r>
    </w:p>
    <w:p>
      <w:pPr>
        <w:pStyle w:val="Heading2"/>
      </w:pPr>
      <w:r>
        <w:t>Regeste</w:t>
      </w:r>
    </w:p>
    <w:p>
      <w:r>
        <w:t>Autorisation de construire une maison individuelle et un garage (voie d'accès). Conformité à la zone. Clause d'esthétique.</w:t>
      </w:r>
    </w:p>
    <w:p>
      <w:pPr>
        <w:pStyle w:val="Heading2"/>
      </w:pPr>
      <w:r>
        <w:t>Erwägungen</w:t>
      </w:r>
    </w:p>
    <w:p>
      <w:r>
        <w:rPr>
          <w:b/>
        </w:rPr>
        <w:t>E. 1</w:t>
      </w:r>
    </w:p>
    <w:p>
      <w:r>
        <w:t>et X</w:t>
      </w:r>
    </w:p>
    <w:p>
      <w:r>
        <w:rPr>
          <w:b/>
        </w:rPr>
        <w:t>E. 2</w:t>
      </w:r>
    </w:p>
    <w:p>
      <w:r>
        <w:t>A titre liminaire, il convient de rappeler que le Tribunal fédéral a reconnu l'intérêt pratique et concret d'un voisin à se plaindre de l'absence d'équipement d'une parcelle voisine dans la mesure où en cas d'admission de ce grief, le projet de construction ne serait pas réalisé ou pas autorisé selon les plans prévus (arrêt du TF du 16.07.2010 [1C_236/2010 ] cons. 1.5). Le bénéfice pratique concret des recourants réside donc ici dans le fait que la construction ne serait pas réalisée, du moins pas selon les plans prévus, si leur grief était bien fondé. E n mettant en cause l'équipement du bien-fonds situé sur une parcelle voisine de leur terrain, les recourants ont donc bien un intérêt digne d’être protégé, leur conférant la qualité pour agir au sens 32 let. a LPJA tel que reconnu dans un précédent arrêt de la Cour de céans (arrêt non publié de la Cour administrative du 09.03.2015 [CDP.2014.152] cons. 2).</w:t>
      </w:r>
    </w:p>
    <w:p>
      <w:r>
        <w:rPr>
          <w:b/>
        </w:rPr>
        <w:t>E. 3</w:t>
      </w:r>
    </w:p>
    <w:p>
      <w:r>
        <w:t>Les recourants font valoir que la desserte envisagée n'est pas adaptée au sens des articles 19 et 22 LAT . Ils soutiennent par ailleurs que la réalisation de l'accès n'est juridiquement pas garantie dans la mesure où les requérants ne peuvent se prévaloir de l'inscription d'une servitude de passage sur le chemin qui sera construit sur les biens-fonds [c], [d] et [f] du cadastre de D. a/aa)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du TF du 03.03.2008 [1C_221/2007 ] cons. 7.2; arrêt du TF du 06.05.1993 [1P.115/1992] cons. 4). Les autorités communales et cantonales disposent d'un important pouvoir d'appréciation en la matière, que les autorités judiciaires doivent respecter (ATF 121 I 65 cons. 3a in fine, p. 68). Elles peuvent également se fonder sur les normes des professionnels suisses de la route (USPR, VSS), étant précisé qu'elles doivent être appliquées en fonction des circonstances concrètes et en accord avec les principes généraux du droit, dont celui de la proportionnalité (arrêt du 10.07.2008 [1P_157/2008] cons. 2.1). bb)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RELCAT , il définit la largeur des chaussées, en réservant au surplus l'application des normes VSS. L'article 9 LConstr rappelle enfin que compte tenu de l'importance des constructions et installations, les accès à la voie publique doivent garantir la sécurité des piétons et celle de la circulation routière, ainsi que l'intervention des services publics. Enfin, l'article 41 du règlement de construction de la Commune de D. prévoit notamment que "toute construction et exploitation génératrice de trafic, doit avoir des accès à la voie publique suffisants, faciles et sûrs" et que "le nombre et la dimension des accès doivent être déterminés en fonction du volume de trafic prévisible et répondre aux règles de l'art". cc) En l'espèce, la parcelle non bâtie [a] du cadastre de D., propriété des époux A. et B., se trouve enclavée au milieu d'autres biens-fonds privés, dont les parcelles [c], [d], [f] sur lesquelles seront édifiées trois maisons individuelles desservies par un chemin d'accès qui sera également emprunté par les requérants pour accéder à leur propriété. Dans l'arrêt précité du 9 mars 2015 (CDP.2014.152), la Cour de céans a considéré que ledit chemin d'accès, d'une largeur de 3,20 mètres et d'une longueur d'environ 50 mètres était suffisant pour absorber le trafic induit par la construction des trois villas projetées, cela sans mettre en péril la sécurité des piétons et des automobilistes et sans entraver l'accès aux véhicules de secours. Il a notamment été rappelé que la desserte constituera une impasse qui ne sera que peu ou pas empruntée par les habitants de la Commune dans la mesure où elle ne permettra pas de rejoindre d'autres habitations que celles projetées. Enfin, la configuration de la desserte ne devrait pas rendre l'engagement sur la Rue [….] plus malaisé. En tout état de cause, le respect des règles habituelles de circulation, notamment l'adaptation de la vitesse aux conditions de visibilité et à la configuration de la chaussée, devrait pouvoir garantir une sécurité suffisante aux usagers. Il s'agit dès lors d'examiner si la desserte en question peut absorber le trafic généré par la construction projetée par les époux A. et B. L'aptitude d'une voie d'accès à assurer la desserte d'une parcelle ou d'un quartier dépend de nombreux éléments qui varient dans chaque cas. Dans la pratique, il a notamment été jugé qu'un chemin rectiligne de 130 mètres de long sur 3.5 mètres de large desservant déjà 22 logements était suffisant pour en desservir encore 8 supplémentaires ( TA.2004.315 ). Au regard des normes VSS, on constate que le chemin d'accès litigieux est un chemin d'accès au sens de la norme SN 640 045, à savoir une route desservant "de petites zones habitées jusqu'à 30 unités de logements". Il apparaît, en l'occurrence, que la desserte, rectiligne, en cul-de-sac, est destinée à desservir les trois villas situées sur les parcelles [c] à [f] ainsi que la villa des requérants, soit quatre logements, éventuellement cinq si le bien-fonds des requérants devait faire l'objet d'une division, ce qui n'est pas l'objet de la présente procédure. Aussi, en desservant quatre unités de logement (éventuellement cinq), le chemin litigieux est conforme à la norme précitée. De surcroît, il convient d'observer que le trafic supplémentaire induit par la construction d'une villa n'entraînera qu'un faible accroissement de la circulation. Le service des ponts et chaussées n'a d'ailleurs émis aucune remarque dans le préavis de synthèse du SAT du 25 avril 2014, étant précisé que dans le dossier des villas voisines (SATAC 16223), ledit service avait mentionné que le Conseil communal pourrait exiger la pose d'un miroir, si nécessaire, afin de pallier le manque de visibilité. De fait, le respect des règles habituelles de circulation, notamment l'adaptation de la vitesse aux conditions de visibilité et à l'état de la chaussée, devrait pouvoir garantir une sécurité suffisante aux usagers. Il s'ensuit que même si la fréquentation de la rue augmentera légèrement, la desserte répond aux exigences de l'article 19 LAT et est suffisante pour desservir une unité de logement supplémentaire, voire deux en cas de division de la parcelle [a]. Le grief des recourants est dès lors mal fondé sur ce point. b/aa) Reste à déterminer si la réalisation de l'accès est juridiquement garantie. Les accès doivent être garantis tant sur le plan juridique que factuel au moment de la délivrance du permis de construire (arrêts du TF du 03.06.2010 [1C_155/ 2010 ] cons. 2.2, du 25.11.2002 [1P.319/2002 ] cons. 3, in RDAT 2003 I 59 211; du 21.03.2014 [1C_668/2013] cons. 2.2). S'il est vraisemblable que le terrain destiné à être construit dispose d'un accès suffisant en vertu du droit privé, il appartient aux propriétaires du terrain grevé de démontrer le contraire (arrêt du TF du 06.10.1989 [1P.407/1989] cons. 3). Le projet doit disposer de l'équipement routier au plus tard au moment de sa réalisation ( ATF 127 I 103 cons. 7d; arrêts du TF du 27.09.2011 [1C_271/2011 ] cons. 2.5; du 07.07.2009 [1C_554/2008] cons. 4.3; cf. Ruch , Commentaire LAT, ad art. 22 n. 83). Il est à cet égard suffisant que, pour entrer en force, l'autorisation de construire soit assortie de la condition que l'accès routier est garanti (arrêt du TF du 27.09.2011 [1C_271/ 2011] cons. 2.5). Les autorités communales et cantonales disposent en ce domaine d'un important pouvoir d'appréciation, que le Tribunal fédéral doit respecter ( ATF 121 I 65 cons. 3a; ATF 96 I 369 cons. 4, p. 373; arrêt du TF du 04.06.2014 [1C_846/2013 ] cons. 8.1). Lorsqu'une voie d'accès traverse la propriété d'un voisin, le maître d'ouvrage doit démontrer que son terrain est au bénéfice d'un droit de passage dont les conditions permettent la réalisation d'un accès suffisant au sens de l'article 19 al. 1 LAT ou que le propriétaire du fonds servant a donné son accord formel à la création d'un tel accès (RJN 1990, p. 187 cons. 2a). bb) En matière d'aménagement du territoire, il sied de rappeler que suite à la demande de sanction définitive adressée au Conseil communal (art. 45 al. 1 RELConstr. ), le service de l'aménagement du territoire est notamment chargé d'envoyer au Conseil communal un préavis de synthèse (art. 58 al. 1 let. b RELConstr .), qui comprend les préavis des différents services concernés (art. 58 al. 2 RELConstr .). Le permis de construire est octroyé lorsque le projet est conforme aux dispositions de la législation sur l'aménagement du territoire et sur les constructions, ainsi qu'aux prescriptions des autres lois applicables dans la procédure du permis de construire (art. 61 RELConstr ). Il peut être assorti de conditions et de charges (art. 62 RELConstr ). cc) Au cas particulier, les recourants font valoir que l'accès n'est pas garanti juridiquement dans la mesure où les époux A. et B. ne sont pas bénéficiaires d'une servitude de passage octroyée par les propriétaires des fonds servants. Les recourants perdent toutefois de vue qu'il n'était pas nécessaire que les requérants soient au bénéfice d'un droit de passage ou bénéficient de l'accord préalable des propriétaires fonciers concernés par le tracé pour engager la procédure de permis de construire. En effet comme développé ci-dessus, les accès doivent être garantis tant sur le plan juridique que factuel au moment de la délivrance du permis de construire. Il est donc suffisant que, pour entrer en force, l'autorisation de construire soit assortie de la condition que l'accès routier est garanti. De fait, il est important de rappeler que la décision de la commune du 12 mai 2014 levant l'opposition des époux X 1 et X 2 n'équivaut en aucun cas à un permis de construire. De surcroît, la délivrance d'une autorisation de construire dépend du préavis favorable du SAT. En l'occurrence, suite au courrier du 15 avril 2014, aux termes duquel les propriétaires fonciers des parcelles [c], [d] et [f] du cadastre de D. ont donné leur accord à la constitution et à l'inscription d'une servitude de passage en faveur des époux A. et B., le SAT a délivré un préavis favorable (avis du 25.04.2014). Il a néanmoins précisé que l'accès au bien-fonds nécessitait un droit de passage sur les parcelles précitées et conditionné l'octroi du permis de construire à l'entrée en force du permis relatif aux trois villas voisines (SATAC 16223). La Commune de D. est liée par le contenu contraignant du préavis du SAT et il lui appartiendra de s'assurer que l'ensemble des conditions sont remplies au moment de délivrer le permis de construire. En tant que besoin, des charges et conditions pourront être assorties à la délivrance de cette autorisation de construire dans le but d'assurer une construction conforme au droit. On observe ainsi que la parcelle [a] sera physiquement équipée par le truchement de la réalisation du projet de construction des trois maisons individuelles et que pour parachever le titre juridique permettant une utilisation du chemin d'accès, il suffira d'inscrire la servitude de passage au registre foncier d'ores et déjà consentie par les propriétaires fonciers voisins. L'ensemble des éléments qui précèdent permettent de retenir que l'accès à la propriété des requérants est suffisamment garanti sur le plan juridique au regard de la législation fédérale et cantonale ainsi que de la jurisprudence rappelée ci-dessus.</w:t>
      </w:r>
    </w:p>
    <w:p>
      <w:r>
        <w:rPr>
          <w:b/>
        </w:rPr>
        <w:t>E. 4</w:t>
      </w:r>
    </w:p>
    <w:p>
      <w:r>
        <w:t>Pour le surplus, les recourants invoquent une violation des articles 10.05.01 et 10.05.02 du règlement d'aménagement de la Commune de D. (ci-après: PRAC). Selon eux, la villa projetée ne s'intègre pas dans la zone d'habitation à faible densité (ZHFD 1) dans la mesure où elle ne respecte pas la cohérence de l'ensemble du milieu bâti tant au niveau de l'implantation, des hauteurs que de l'architecture. a) Conformément aux principes régissant l'aménagement du territoire, il convient de veiller à ce que les constructions prises isolément ou dans leur ensemble ainsi que les installations s'intègrent dans le paysage (art. 3 al. 2 let. b de la loi fédérale sur l'aménagement du territoire [ci-après : LAT]). L'article 7 de la loi cantonale sur les constructions (ci-après : LConstr ) prévoit à son alinéa 1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(art. 29 LConstr )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(ATF non publié du 07.12.1999 [1P.402/1999] cons. 3b; RJN 2006, p. 240 cons. 2a) Aux termes de l’article 43 al. 1 LCAT , les communes élaborent leurs plans d’affectation dans le cadre du plan directeur et en tenant compte des mesures cantonales. Le plan d'aménagement communal règle le mode d'utilisation du sol (art. 45 al. 1 LCAT ). Il doit notamment contenir des dispositions relatives à l'affectation des différentes zones (art. 59 al. 1 LCAT ). L'article 59 al. 2 let. j LCAT prévoit que le règlement communal d'aménagement peut contenir des dispositions sur la sauvegarde de l'aspect des localités et des sites. Selon l'article 10.05.1 PRAC, la zone d'habitation à faible densité (ZHFD 1) est caractérisée par des bâtiments d'habitations individuels isolés généralement de 1 à 2 étages. Une légère densification des secteurs existants est souhaitée et l'attention sera portée sur une meilleure cohérence de l'ensemble tant pour le bâti que pour le non-bâti (implantation, architecture, aménagement des abords) et des plantations d'arbres importantes (article 10.05.02 PRAC). Pour le surplus, les dispositions 10.05.03 à 10.05.11 PRAC, qui traitement notamment des dimensions des constructions, ont été édictées dans le but de respecter l'objectif et les caractéristiques de la ZHFD 1. b) 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 ( Zen-Ruffinen/Guy-Ecabert , Aménagement du territoire, construction, expropriation, p. 388; Chassot , Clause d'esthétique en droit des constructions, in RFJ 1993 p. 106) . Ainsi, par le biais de la clause d'esthétique, il est possible de refuser un permis de construire à un projet, dont l'implantation porte atteinte à l'environnement bâti ou au paysage. Comme toute restriction de propriété, une clause d'esthétique doit reposer sur une base légale, être justifiée par un intérêt public et respecter le principe de la proportionnalité (ATF 115 Ia 373 , cons. 3a et 4; RJN 2006 p. 240 cons. 2a ; Zen-Ruffinen/Guy-Ecabert , op. cit., p. 389 ss, n° 893-894; Chassot , op. cit., p. 106 ss). En particulier, s'agissant de l'intérêt public, le projet concerné doit être examiné sur la base de critères objectifs, tenant compte de la valeur esthétique, culturelle, historique, architecturale et urbanistique des constructions et sites concernés (arrêt du TF non publié du 07.12.1999 [1P.402/1999] cons. 4a; ATF 120 Ia 270 cons. 4a; 118 Ia 384 cons. 5). Les autorités locales disposent d'un large pouvoir d'appréciation dès lors qu'il s'agit d'examiner l'application de clauses d'esthétique (arrêts du TF du 12.02.2009 [1C_423/2008] cons. 4.2.1 et du 15.04.2008 [1C_18/2008 ]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(arrêt du TF non publié du 07.12.1999 [1P.402/1999] cons. 4c; ATF 115 Ia 363 cons. 3b; RDAF 1999 I 328 cons. 2c; RJN 2006, p. 240 cons. 2a). Il ne s'agit pas pour autant d'une question de pure opportunité qui échapperait par principe à la cognition de la Cour cantonale. Les aspects esthétiques d'une construction doivent en effet être jugés en se fondant, dans la mesure du possible, sur des critères objectifs et non pas sur une perception ou un sentiment architectural subjectif (RDAF 1999 I 588; arrêt non publié du TA du 10.11.2005 [TA 2004.260] cons. 2b; RJN 2006, p. 240 cons. 2a; 1989, p. 239 cons. 2a; Chassot , op. cit., p. 104-105). En tous les cas, l'autorité compétente doit indiquer les raisons pour lesquelles elle considère qu'une construction ou une installation serait de nature à enlaidir le site (arrêt du TF du 20.10.2005 [1P.342/2005 ] cons. 5.5; RDAF 2000 I 288). 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 Zen-Ruffinen/Guy-Ecabert , op. cit., p. 388 ss).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apparaît déraisonnable et irrationnelle (arrêts du TF du 12.02.2009 [1C_423/2008 ] cons. 2.4.1 et du 20.10.2005 [1P.342/2005 ] cons. 5.5; ATF 115 Ia 363 cons. 3a; 115 Ia 118 cons. 3d; v. aussi arrêts du TF du 06.03.2007 [1P.402/2006 ] cons. 4.5 et du 16.01.2007 [1P.437/2006 ] cons. 4.2). c) Le projet litigieux consiste en la construction d'un garage et d'une villa individuelle avec une hauteur à la corniche de 5,85 mètres et au faîte de 7,39 mètres. Dans le cas présent, le quartier d'habitation n'appartient pas à une catégorie de périmètre nécessitant une protection spéciale et ne présente aucune particularité. Néanmoins, l'application de la clause d'esthétique n'est pas réservée à des sites protégés ou à des biens culturels reconnus. Il faut et il suffit que l'installation projetée apparaisse déraisonnable compte tenu de son environnement. Les recourants sont d'avis que le projet ne s'harmonise pas à la zone, sachant que la maison projetée dépasserait les hauteurs à la corniche des maisons voisines et disposerait d'un second étage plein ainsi que d'un garage volumineux. A cet égard, il convient de retenir, avec le Conseil d'Etat, que si les hauteurs (corniche et faîte) de la villa litigieuse sont plus élevées que certaines des maisons avoisinantes, cela tend simplement à confirmer l'existence de différences dans le milieu bâti du quartier. S'agissant de la configuration du premier étage, dès lors que le règlement communal ne prescrit rien à ce sujet, chaque propriétaire est libre de déterminer son aménagement dans les limites des hauteurs maximales de telle sorte que ce grief est irrelevant. On peut d'ailleurs s'étonner de l'argument des recourants eu égard au fait qu'ils disposent eux-mêmes d'un premier étage complet en sus des combles similaire au projet litigieux. Au demeurant, la villa projetée présente un toit à deux pans avec un aspect moderne sans particularités. Bien que la surface du garage soit légèrement plus grande que celle d'autres avoisinants, cette différence ne saurait être considérée comme disproportionnée. Partant, les critiques des recourants selon lesquelles la villa projetée ne s'intégrerait pas dans la zone résidentielle tant au niveau de l'implantation, des hauteurs que de l'architecture sont l'expression de leur appréciation subjective et ne sont pas de nature à démontrer le caractère manifestement insoutenable de la décision attaquée. En effet, dans la mesure où les constructions environnantes, classiques dans leur ensemble, présentent des toits à deux ou quatre pans, ont un premier étage encastré dans les combles ou distincts de celles-ci, des fenêtres avec ou sans volets et des garages accolés ou non à l'habitation, on ne saurait retenir, à l'instar du Conseil d'Etat, que le tissu bâti dans le quartier concerné est homogène et que, partant, les constructions projetées compromettraient l'image du quartier. De surcroît, on doit constater que les critères contenus dans l'article 10.05.02 du PRAC n'imposent pas le respect d'un style architectural ou encore d'un type d'implantation particulier. Cette conclusion s'impose d'autant plus que la commune doit pouvoir garder un pouvoir d'appréciation en la matière. En tous les cas, la construction envisagée n'apparaît ni déraisonnable, ni irrationnelle ou incohérente au regard de la zone concernée ainsi que l'a relevé avec pertinence le Conseil d'Etat. A cela s'ajoute le fait que la villa projetée respecte en tous points le règlement d'aménagement communal. En définitive, le projet litigieux n'amène pas plus de disparités que celles présentées par les bâtiments actuels du quartier qui ne revêtent par ailleurs pas de véritable unité architecturale. Il s'ensuit que le grief de violation de l'article 10.05.02 PRAC s'avère sans fondement.</w:t>
      </w:r>
    </w:p>
    <w:p>
      <w:r>
        <w:rPr>
          <w:b/>
        </w:rPr>
        <w:t>E. 5</w:t>
      </w:r>
    </w:p>
    <w:p>
      <w:r>
        <w:t>Le dossier tel que constitué permettant à la Cour de céans de statuer, il n'y a pas lieu de donner suite à la réquisition des recourants tendant à la mise en œuvre d'une vision locale. Il résulte de ce qui précède que, mal fondé, le recours doit être rejeté, et la décision attaquée, ainsi que celle de la Commune de D., confirmées. Vu l'issue de la procédure, les frais seront mis à charge des recourants qui succombent (art. 47 al. 1 LPJA ) et il ne leur sera pas alloué de dépens (art. 48 al. 1 a contrario LPJA ). Une indemnité de dépens sera en revanche allouée aux tiers intéressés qui procèdent avec l'aide d'un mandataire professionnel (art. 48 LPJA ). Me C. a déposé un mémoire d'honoraires (art. 66 al. 1 du décret fixant le tarif des frais, des émoluments de chancellerie et des dépens en matière civile, pénale et administrative [ TFrais] ). Il faut toutefois relever que le tarif de 285 francs invoqué par ce mandataire est plus élevé que le tarif usuellement appliqué par la Cour de céans et doit être ramené à 250 francs de l'heure. Ainsi, eu égard à ce tarif, aux débours à raison de 10 % des honoraires (art. 65 TFrais) et à la TVA (au taux de 8 %), l'indemnité de dépens sera fixée à 1'188 francs tout compris.</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