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CDP.2015.38 vom 18. Oktober 2016</w:t>
      </w:r>
    </w:p>
    <w:p>
      <w:r>
        <w:t>NE Tribunal cantonal, 2016-10-18, FR</w:t>
      </w:r>
    </w:p>
    <w:p>
      <w:r>
        <w:rPr>
          <w:b/>
        </w:rPr>
        <w:t xml:space="preserve">Quelle: </w:t>
      </w:r>
      <w:r>
        <w:t>https://mcp.opencaselaw.ch/entscheid/ne_gerichte_CDP.2015.38</w:t>
      </w:r>
    </w:p>
    <w:p>
      <w:r>
        <w:t>FR: NE_GERICHTE CDP.2015.38 du 18 octobre 2016</w:t>
      </w:r>
    </w:p>
    <w:p>
      <w:r>
        <w:t>IT: NE_GERICHTE CDP.2015.38 del 18 ottobre 2016</w:t>
      </w:r>
    </w:p>
    <w:p>
      <w:pPr>
        <w:pStyle w:val="Heading2"/>
      </w:pPr>
      <w:r>
        <w:t>Erwägungen</w:t>
      </w:r>
    </w:p>
    <w:p>
      <w:r>
        <w:rPr>
          <w:b/>
        </w:rPr>
        <w:t>E. 1</w:t>
      </w:r>
    </w:p>
    <w:p>
      <w:r>
        <w:t>LAI, l'invalidité peut résulter d'une infirmité congénitale, d'une maladie ou d'un accident. L'article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 au moins. Un taux d'invalidité de 40 % donne droit à un quart de rente AI, un taux d'invalidité de 50 %, à une demi-rente AI, un taux de 60 %, à trois quarts de rente AI et un taux de 70 % au moins à une rente entière (art.28 al. 2 LAI).</w:t>
      </w:r>
    </w:p>
    <w:p>
      <w:r>
        <w:t>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(ATF 132 V 93cons. 4,125 V 256cons. 4,115 V 133cons. 2,114 V 310cons. 3c,105 V 156cons. 1; arrêt du TF du29.06.2007 [I 312/06]cons. 2.3).</w:t>
      </w:r>
    </w:p>
    <w:p>
      <w:r>
        <w:t>c)En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praticien soient bien motivées (ATF 134 V 231cons. 5.1,133 V 450cons. 11.1.3,125 V 351cons. 3a et les références citées).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(ATF 125 V 351cons.3b/cc et les références citées).Le juge ne peut écarter un rapport médical au seul motif qu'il est établi par le médecin interne d'un assureur social, respectivement par le médecin traitant (ou l'expert privé) de la personne assurée, sans examiner autrement sa valeur probante.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uvre une expertise par un médecin indépendant selon la procédure de l'article44 LPGAou une expertise judiciaire (ATF 135 V 465cons. 4; arrêts du TF des30.11.2010 [8C_149/2010]cons. 5,13.09.2010 [8C_85/2010]cons. 6.1 et la référence citée). Bien que les rapports d'examen réalisés par le SMR en vertu de l'article49 al. 2 RAIne soient pas des expertises au sens de l'article44 LPGAet ne soient pas soumis aux mêmes exigences formelles (ATF 135 V 254cons. 3.4), ils peuvent néanmoins revêtir la même valeur probante que des expertises, dans la mesure où ils satisfont aux exigences, définies par la jurisprudence, qui sont posées à une expertise médicale (arrêt du TF du06.07.2009 [9C_204/2009]cons. 3.3.2). Même en tenant compte de la jurisprudence récente de la Cour européenne des droits de l'homme, il n'existe en effet pas, dans la procédure d'octroi ou de refus de prestations d'assurances sociales, de droit formel à une expertise menée par un médecin externe à l'assurance (ATF 135 V 465cons. 4.3). Cela étant, il convient d'ordonner une expertise si des doutes, mêmes faibles, subsistent quant à la fiabilité et la pertinence des constatations médicales effectuées par le service médical interne de l'assurance (ATF 135 V 465cons. 4.6). Une évaluation médicale complète ne saurait toutefois être remise en cause pour le seul motif qu'un ou plusieurs médecins ont une opinion divergente. Pour qu'il en aille différemment, il faut mettre en évidence des éléments objectivement vérifiables, de nature clinique ou diagnostique notamment, qui auraient été ignorés dans le cadre de l'évaluation et qui seraient suffisamment pertinents pour remettre en cause le bien-fondé du point de vue attaqué ou établir le caractère incomplet de celui-ci (arrêts du TF du13.06.2012 [9C_888/2011]cons. 4.3, du29.12.2009 [9C_578/2009]cons. 3.2).</w:t>
      </w:r>
    </w:p>
    <w:p>
      <w:r>
        <w:t>4.a) Pour prononcer le refus de rente, lOffice AI sest principalement fondé sur le rapport dexamen du 13 janvier 2014 du Dr C., dont la valeur probante est contestée par la recourante.</w:t>
      </w:r>
    </w:p>
    <w:p>
      <w:r>
        <w:t>b) En l'espèce, les diagnostics ayant une répercussion sur la capacité de travail tels quils figurent dans le rapport du13 janvier 2014 du Dr C.ne font pas lobjet dune discussion entre les parties et peuvent dès lors être repris. La recourante présente ainsi des séquelles de poliomyélite (B91). A ceci sajoute un équin du pied droit, sur rétractation du triceps sural ainsi que des lombalgies intermittentes dans un contexte de troubles statiques modérés et de troubles dégénératifs débutants. Il en va de même des limitations fonctionnelles que doit observer la recourante. Sagissant des séquelles de poliomyélite, elle ne peut pas marcher sans sarrêter au-delà du kilomètre et ne peut ni effectuer de montée-descente descaliers répétées, ni fournir de travail accroupi ou à genoux. Elle ne peut pas porter des charges supérieures à 2 kg et ne peut pas travailler en terrain inégal ou en hauteur. En ce qui concerne les limitations relatives au rachis, la recourante ne peutni effectuer de mouvements répétés en flexion-extension ou en rotation du tronc, ni maintenir dattitude prolongée en porte-à-faux. Elle ne peut pas demeurer en position statique assise au-delà dune heure et au-delà de 15 minutes en position debout.</w:t>
      </w:r>
    </w:p>
    <w:p>
      <w:r>
        <w:t>En définitive, seules les activités encore exigibles, et en particulier leur taux, sont contestées. A cet égard, le Dr C. a estimé que la recourante avait une capacité de travail exigible dans lactivité dassistante en information documentaire de 75 % et de 50 % dans celle dassistante socio-éducative. Il a retenu que, dans une activité respectant toutes les limitations fonctionnelles décrites, lexigibilité était de 100 % dès la fin de son apprentissage. Selon ce médecin, lactivité dassistante en information documentaire est en particulier exigible à 100 % si elle peut être aménagée en fonction des limitations fonctionnelles (activité de bureau avec conseil à la clientèle).</w:t>
      </w:r>
    </w:p>
    <w:p>
      <w:r>
        <w:t>Bien que le rapport du Dr C., dont les conclusions ont été reprises par lOffice intimé, constitue un rapport dexamenau sens de l'article49 al. 2 RAIet non une expertise au sens de larticle44 LPGA, il convient de lui reconnaître pleine valeur probante, dès lors quilremplit les critères posés par la jurisprudence en matière dexpertise.Le rapport contextualise en effet de manière aboutie et efficace la situation de la recourante et fait suite à un examen complet et diligemment mené. Il contient une anamnèse mettant laccent sur les éléments pertinents (anamnèse professionnelle) et tenant compte des plaintes exprimées par la recourante et des avis médicaux au dossier. Le rapport fixe les limitations fonctionnelles dont il doit être tenu compte sagissant de lactivité professionnelle exigible de la recourante.Le praticien procède à une description claire et détailléedes interférences médicaleset met en évidence les diverses difficultés que les deux activités examinées (assistante en information documentaire et assistante socio-éducative) génèrent. Qui plus est, la réponse à la question litigieuse est clairement énoncée et fondée sur une anamnèse complète prenant en compte le déroulement des activités quotidiennes ainsi que lexamen clinique et radiologique. La motivation est relativement courte mais intelligible et cohérente. En outre, le médecin étant spécialiste en médecine physique-rééducation et rhumatologie, il apparaît posséder les qualifications nécessaires pour procéder à un examen médical pertinent.L'appréciation ainsi faite par le Dr C. est complète, objective et convaincante. C'est dès lors à juste titre que loffice intimé a repris les conclusions de ce rapport pour fonder la décision querellée.</w:t>
      </w:r>
    </w:p>
    <w:p>
      <w:r>
        <w:t>c) Partant, on ne peut pas suivre la recourante lorsquelle soutient que lactivité dassistante en information documentaire serait complètement inadaptée aux limitations fonctionnelles quelle doit observer mais quen revanche, lactivité dassistante socio-éducative exercée à 50 % en remplirait toutes les conditions.</w:t>
      </w:r>
    </w:p>
    <w:p>
      <w:r>
        <w:t>En lespèce, le rapport du Dr C. met en évidence  en prenant en compte les plaintes de lassurée  la différence entre les deux activités pour la recourante et, à linverse de ce quelle prétend, explique le caractère plus contraignant de lactivité dassistante socio-éducative pour elle, en lien avec les limitations fonctionnelles. En sus, de fait, la recourante travaille à un taux de 70 %, soit supérieur de 20 % à la limitation du taux doccupation de 50 % quelle invoque. Elle travaille à 50 % en tant quassistante socio-éducative  alors que cette activité est considérée comme moins adaptée que celledassistante en information documentaire  et à 20 % dans cette dernière profession quelle considère pourtant comme totalement inadaptée. Au demeurant, aucun médecin na jamais constaté que la recourante avait travaillé au-dessus de ses forces.</w:t>
      </w:r>
    </w:p>
    <w:p>
      <w:r>
        <w:t>On ne peut non plus suivre la recourante lorsquelle soutient que 50 % de son temps doit être consacré à la pratique dexercices physiques et aux actes ordinaires de la vie quotidienne pour ne pas aggraver sa situation physique. Non seulement aucun avis médical natteste cette affirmation mais, qui plus est, force est de constater quelle a effectué avec succès deux apprentissages à temps plein, sur une durée de 5 ans au total et ce, sans dégradation de son état de santé alors même que le SMR ne lui reconnaît pas  sans adaptations spécifiques  une pleine capacité de travail dans les professions apprises. En outre, tous les certificats de travail au dossier relatent des activités variées et exigeantes, la recourante y étant néanmoins globalement évaluée de manière élogieuse, notamment quant à son indépendance et son autonomie.</w:t>
      </w:r>
    </w:p>
    <w:p>
      <w:r>
        <w:t>Sagissant des taux retenus par le Dr C., ils ne sont en définitive contredits que par le Dr A., qui retient une activité exigible de 50 % dans celledassistante en information documentaire, activité pour laquelle la recourante se déclare pourtant en totale incapacité. Au demeurant, cet avis nest nullement motivé. Le Dr C. a indiqué dans son rapport que les éléments à sa disposition ne lui permettaient pas de saligner sur les observations faites par B. Il en a néanmoins tenu compte dès lors quil na conclu à une exigibilité pleine dans lactivité dassistante en information documentaire quà la condition daménagements spécifiques. Qui plus est, en comparant la perte de rendement dans cette profession, estimée de manière "approximative" et sans connaissances médicales, entre 30 % et 50 % par B. et les conclusions du Dr C.  75 % exigible sans adaptation , il ne ressort quune différence de 5 % par rapport à la valeur maximale de la fourchette posée par B. On ne saurait ainsi, quoi quil en soi, mettre en cause la pertinence du rapport du Dr C. sur cette distinction toute théorique.</w:t>
      </w:r>
    </w:p>
    <w:p>
      <w:r>
        <w:t>On ne saurait non plus suivre la recourante dans son argument relatif à la distinction selon que la formation dassistante en information documentaire ait été effectuée par la voie dun CFC ou dun bachelor. En effet, soncurriculum vitaedémontre quelle a multiplié les stagesdassistante en information documentaire. Les certificats de travail y relatifs mettent en lumière quelle les a accomplis à pleine satisfaction et quelle a toujours effectué toutes les tâches qui composent le travail de bibliothécaire, tant "manuelles" que "intellectuelles". Objectivement, on ne peut dès lors retenir quune séparation des tâches dévolues sopérerait au sein de la profession d'assistante en information documentaire selon que lon soit titulaire dun CFC ou dun bachelor. Cest donc à raison que le Dr C. a pris en compte lensemble des tâches de lactivité afin de déterminer à quel taux elle était exigible.</w:t>
      </w:r>
    </w:p>
    <w:p>
      <w:r>
        <w:t>d) En conséquence de ce qui précède, les griefs de la recourante apparaissent mal fondés, de sorte qu'il n'y a pas lieu de s'écarter de l'appréciation des preuves à laquelle a procédé loffice intimé. Vu létat du dossier, en particulier le rapport dexamen du SMR du 13 janvier 2014 auquel une pleine valeur probante doit être reconnue, il ny a pas besoin de faire procéder à lexpertise médicale sollicitée par la recourante.</w:t>
      </w:r>
    </w:p>
    <w:p>
      <w:r>
        <w:t>5.a) Dans un ultime grief, la recourante conteste la méthode de calcul de linvalidité appliquée par loffice intimé ainsi que les calculs effectués par celui-ci.</w:t>
      </w:r>
    </w:p>
    <w:p>
      <w:r>
        <w:t>b) Pour déterminer la méthode applicable au cas particulier, il faut à chaque fois se demander ce que l'assuré aurait fait si l'atteinte à la santé n'était pas survenue (ATF 137 V 334cons. 3.2 et les références). Cest partant à tort que X. soutient que la méthode mixte aurait dû être appliquée. En effet, cest bien la méthode générale de comparaison des revenus qui est pertinente (cf.ATF 137 V 334cons. 3.1.1 et les références), attendu que, sans invalidité, elle indique quelle travaillerait à 100 %.</w:t>
      </w:r>
    </w:p>
    <w:p>
      <w:r>
        <w:t>c) Sagissant enfin des calculs retenus dans la comparaison des revenus, force est de constater que la recourante namène aucun argument à cet égard. Au vu du dossier, il ny a ainsi pas de raison de remettre en cause les calculs opérés par lintimé.</w:t>
      </w:r>
    </w:p>
    <w:p>
      <w:r>
        <w:t>6.La décision entreprise doit ainsi être confirmée et,vu l'issue du litige, les frais de procédure doivent être mis à la charge de la recourante (art. 69 al. 1bis LAI). Celle-ci succombant dans ses conclusions, elle n'a pas droit à l'allocation d'une indemnité de dépens (art. 61 let. g LPGAa contrario).</w:t>
      </w:r>
    </w:p>
    <w:p>
      <w:r>
        <w:t>Par ces motifs,la Cour de droit public</w:t>
      </w:r>
    </w:p>
    <w:p>
      <w:r>
        <w:t>1.Rejette le recours.</w:t>
      </w:r>
    </w:p>
    <w:p>
      <w:r>
        <w:t>2.Met à la charge de la recourante les frais de la cause par 440 francs, montant compensé par son avance.</w:t>
      </w:r>
    </w:p>
    <w:p>
      <w:r>
        <w:t>3.Dit quil nest pas alloué de dépens.</w:t>
      </w:r>
    </w:p>
    <w:p>
      <w:r>
        <w:t>Neuchâtel, le 18 octobre 2016</w:t>
      </w:r>
    </w:p>
    <w:p>
      <w:r>
        <w:t>1L'invalidité (art. 8 LPGA1) peut résulter d'une infirmité congénitale, d'une maladie ou d'un accident.2</w:t>
      </w:r>
    </w:p>
    <w:p>
      <w:r>
        <w:t>2L'invalidité est réputée survenue dès qu'elle est, par sa nature et sa gravité, propre à ouvrir droit aux prestations entrant en considération.3</w:t>
      </w:r>
    </w:p>
    <w:p>
      <w:r>
        <w:t>1RS830.12Nouvelle teneur selon le ch. 8 de l'annexe à la LF du 6 oct. 2000 sur la partie générale du droit des assurances sociales, en vigueur depuis le 1erjanv. 2003 (RO20023371; FF1991II 181 888,1994V 897,19994168).3Introduit par le ch. I de la LF du 5 oct. 1967, en vigueur depuis le 1erjanv. 1968 (RO196829; FF1967I 677).</w:t>
      </w:r>
    </w:p>
    <w:p>
      <w:r>
        <w:t>1Les ressortissants suisses et étrangers ainsi que les apatrides ont droit aux prestations conformément aux dispositions ci-après. L'art. 39 est réservé.2</w:t>
      </w:r>
    </w:p>
    <w:p>
      <w:r>
        <w:t>1bisLorsqu'une convention de sécurité sociale conclue par la Suisse prévoit que les prestations ne sont à la charge que de l'un des Etats contractants, il n'y a pas de droit à la rente d'invalidité si la législation de l'autre Etat accorde un tel droit du fait de la totalisation des périodes d'assurance accomplies dans les deux pays par les ressortissants suisses ou ceux de l'Etat contractant.3</w:t>
      </w:r>
    </w:p>
    <w:p>
      <w:r>
        <w:t>2Les étrangers ont droit aux prestations, sous réserve de l'art. 9, al. 3, aussi longtemps qu'ils conservent leur domicile et leur résidence habituelle (art. 13 LPGA4) en Suisse, mais seulement s'ils comptent, lors de la survenance de l'invalidité, au moins une année entière de cotisations ou dix ans de résidence ininterrompue en Suisse. Aucune prestation n'est allouée aux proches de ces étrangers s'ils sont domiciliés hors de Suisse.5</w:t>
      </w:r>
    </w:p>
    <w:p>
      <w:r>
        <w:t>3Le droit aux prestations des personnes qui ont eu successivement plusieurs nationalités est déterminé en fonction de celle qu'elles possèdent pendant la période où les prestations leur sont versées.6</w:t>
      </w:r>
    </w:p>
    <w:p>
      <w:r>
        <w:t>1Nouvelle teneur selon le ch. I de la LF du 5 oct. 1967, en vigueur depuis le 1erjanv. 1968 (RO196829; FF1967I 677).2Nouvelle teneur selon le ch. 1 de l'annexe à la LF du 23 juin 2000, en vigueur depuis le 1erjanv. 2001 (RO20002677;FF19994601).3Introduit par le ch. 3 de l'annexe à la LF du 7 oct. 1994 (10erévision de l'AVS) (RO19962466; FF1990II 1). Nouvelle teneur selon le ch. 1 de l'annexe à la LF du 23 juin 2000, en vigueur depuis le 1erjanv. 2001 (RO20002677;FF19994601).Voir aussi l'al. 3 des disp. fin. 23 juin 2000, à la fin du présent texte.4RS830.15Nouvelle teneur selon le ch. 8 de l'annexe à la LF du 6 oct. 2000 sur la partie générale du droit des assurances sociales, en vigueur depuis le 1erjanv. 2003 (RO20023371; FF1991II 181 888,1994V 897,19994168).6Introduit par le ch. 2 de l'annexe à la LF du 17 juin 2011 (Amélioration de la mise en uvre), en vigueur depuis le 1erjanv. 2012 (RO20114745;FF2011519).</w:t>
      </w:r>
    </w:p>
    <w:p>
      <w:r>
        <w:t>1L'assuré doit entreprendre tout ce qui peut être raisonnablement exigé de lui pour réduire la durée et l'étendue de l'incapacité de travail (art. 6 LPGA2) et pour empêcher la survenance d'une invalidité (art. 8 LPGA).</w:t>
      </w:r>
    </w:p>
    <w:p>
      <w:r>
        <w:t>2L'assuré doit participer activement à la mise en oeuvre de toutes les mesures raisonnablement exigibles contribuant soit au maintien de son emploi actuel, soit à sa réadaptation à la vie professionnelle ou à l'exercice d'une activité comparable (travaux habituels). Il s'agit en particulier:</w:t>
      </w:r>
    </w:p>
    <w:p>
      <w:r>
        <w:t>a. de mesures d'intervention précoce (art. 7d);</w:t>
      </w:r>
    </w:p>
    <w:p>
      <w:r>
        <w:t>b. de mesures de réinsertion préparant à la réadaptation professionnelle (art. 14a);</w:t>
      </w:r>
    </w:p>
    <w:p>
      <w:r>
        <w:t>c. de mesures d'ordre professionnel (art. 15 à 18 et 18b);</w:t>
      </w:r>
    </w:p>
    <w:p>
      <w:r>
        <w:t>d. de traitements médicaux au sens de l'art. 25 LAMal3;</w:t>
      </w:r>
    </w:p>
    <w:p>
      <w:r>
        <w:t>e.4de mesures en vue d'une nouvelle réadaptation destinées aux bénéficiaires de rente au sens de l'art. 8a, al. 2 (mesures de nouvelle réadaptation).</w:t>
      </w:r>
    </w:p>
    <w:p>
      <w:r>
        <w:t>1Nouvelle teneur selon le ch. I de la LF du 6 oct. 2006 (5erévision AI), en vigueur depuis le 1erjanv. 2008 (RO20075129;FF20054215).2RS830.13RS832.104Introduite par le ch. I de la LF du 18 mars 2011 (6erévision AI, premier volet), en vigueur depuis le 1erjanv. 2012 (RO20115659;FF20101647).</w:t>
      </w:r>
    </w:p>
    <w:p>
      <w:r>
        <w:t>1Les assurés invalides ou menacés d'une invalidité (art. 8 LPGA2) ont droit à des mesures de réadaptation pour autant:</w:t>
      </w:r>
    </w:p>
    <w:p>
      <w:r>
        <w:t>a. que ces mesures soient nécessaires et de nature à rétablir, maintenir ou améliorer leur capacité de gain ou leur capacité d'accomplir leurs travaux habituels;</w:t>
      </w:r>
    </w:p>
    <w:p>
      <w:r>
        <w:t>b. que les conditions d'octroi des différentes mesures soient remplies.3</w:t>
      </w:r>
    </w:p>
    <w:p>
      <w:r>
        <w:t>1bisLe droit aux mesures de réadaptation n'est pas lié à l'exercice d'une activité lucrative préalable. Lors de la fixation de ces mesures, il est tenu compte de la durée probable de la vie professionnelle restante.4</w:t>
      </w:r>
    </w:p>
    <w:p>
      <w:r>
        <w:t>2Les assurés ont droit aux prestations prévues aux art. 13 et 21, quelles que soient les possibilités de réadaptation à la vie professionnelle ou à l'accomplissement de leurs travaux habituels.5</w:t>
      </w:r>
    </w:p>
    <w:p>
      <w:r>
        <w:t>2bisLes assurés ont droit aux prestations prévues à l'art. 16, al. 2, let. c, que les mesures de réadaptation soient nécessaires ou non pour maintenir ou améliorer leur capacité de gain ou leur capacité d'accomplir leurs travaux habituels.6</w:t>
      </w:r>
    </w:p>
    <w:p>
      <w:r>
        <w:t>3Les mesures de réadaptation comprennent:</w:t>
      </w:r>
    </w:p>
    <w:p>
      <w:r>
        <w:t>a.des mesures médicales;</w:t>
      </w:r>
    </w:p>
    <w:p>
      <w:r>
        <w:t>abis.7des mesures de réinsertion préparant à la réadaptation professionnelle;</w:t>
      </w:r>
    </w:p>
    <w:p>
      <w:r>
        <w:t>b.8des mesures d'ordre professionnel (orientation professionnelle, formation professionnelle initiale, reclassement, placement, aide en capital);</w:t>
      </w:r>
    </w:p>
    <w:p>
      <w:r>
        <w:t>c.9</w:t>
      </w:r>
    </w:p>
    <w:p>
      <w:r>
        <w:t>d. l'octroi de moyens auxiliaires;</w:t>
      </w:r>
    </w:p>
    <w:p>
      <w:r>
        <w:t>e.10</w:t>
      </w:r>
    </w:p>
    <w:p>
      <w:r>
        <w:t>411</w:t>
      </w:r>
    </w:p>
    <w:p>
      <w:r>
        <w:t>1Nouvelle teneur selon le ch. I de la LF du 5 oct. 1967, en vigueur depuis le 1erjanv. 1968 (RO196829; FF1967I 677).2RS830.13Nouvelle teneur selon le ch. I de la LF du</w:t>
      </w:r>
    </w:p>
    <w:p>
      <w:r>
        <w:rPr>
          <w:b/>
        </w:rPr>
        <w:t>E. 2</w:t>
      </w:r>
    </w:p>
    <w:p>
      <w:r>
        <w:t>a) Dans un premier grief de nature formelle, X. se plaint d’une violation de son droit d’être entendue en ceci que l’office intimé aurait réfuté les avis concluant à une diminution de rendement de 50 % dans la profession d'assistante en information documentaire sans motivation. En l’occurrence, ce grief ne représente pas un défaut de motivation constitutif d'une violation du droit d'être entendu mais se confond avec le grief de constatation, inexacte ou incomplète, des faits pertinents, qui sera examiné avec le fond du litige en relation avec l'appréciation des preuves (arrêt du TF du 21.05.2012 [9C_907/2011] cons. 3.3). b) La recourante invoque également une violation de son droit d’être entendue en ceci que, s'agissant de la procédure d'examen clinique, l’office intimé ne lui a pas fourni le nom de l'examinateur du SMR et ne lui a pas offert la possibilité de poser des questions. Comme l’indique à juste titre l’office intimé dans la décision querellée, les rapports d'examen réalisés par un SMR en vertu de l'article 49 al. 2 RAI ne sont pas des expertises au sens de l'article 44 LPGA et, partant, l’examen de l’assuré par un médecin du SMR n’est pas soumis aux exigences formelles de cette disposition. Il n’y a en conséquence pas de violation de cet article lorsque l’assuré, dans la perspective d’un examen du SMR, ne se voit pas communiquer au préalable le nom du médecin examinateur et ne peut ainsi pas lui poser de questions ( ATF 135 V 254 , cons. 3.4 et 3.5).</w:t>
      </w:r>
    </w:p>
    <w:p>
      <w:r>
        <w:rPr>
          <w:b/>
        </w:rPr>
        <w:t>E. 3</w:t>
      </w:r>
    </w:p>
    <w:p>
      <w:r>
        <w:t>a) Selon l'article</w:t>
      </w:r>
    </w:p>
    <w:p>
      <w:r>
        <w:rPr>
          <w:b/>
        </w:rPr>
        <w:t>E. 4</w:t>
      </w:r>
    </w:p>
    <w:p>
      <w:r>
        <w:t>a) Pour prononcer le refus de rente, l’Office AI s’est principalement fondé sur le rapport d’examen du 13 janvier 2014 du Dr C., dont la valeur probante est contestée par la recourante. b) En l'espèce, les diagnostics ayant une répercussion sur la capacité de travail tels qu’ils figurent dans le rapport du 13 janvier 2014 du Dr C. ne font pas l’objet d’une discussion entre les parties et peuvent dès lors être repris. La recourante présente ainsi des séquelles de poliomyélite (B91). A ceci s’ajoute un équin du pied droit, sur rétractation du triceps sural ainsi que des lombalgies intermittentes dans un contexte de troubles statiques modérés et de troubles dégénératifs débutants. Il en va de même des limitations fonctionnelles que doit observer la recourante. S’agissant des séquelles de poliomyélite, elle ne peut pas marcher sans s’arrêter au-delà du kilomètre et ne peut ni effectuer de montée-descente d’escaliers répétées, ni fournir de travail accroupi ou à genoux. Elle ne peut pas porter des charges supérieures à 2 kg et ne peut pas travailler en terrain inégal ou en hauteur. En ce qui concerne les limitations relatives au rachis, la recourante ne peut ni effectuer de mouvements répétés en flexion-extension ou en rotation du tronc, ni maintenir d’attitude prolongée en porte-à-faux. Elle ne peut pas demeurer en position statique assise au-delà d’une heure et au-delà de 15 minutes en position debout. En définitive, seules les activités encore exigibles, et en particulier leur taux, sont contestées. A cet égard, le Dr C. a estimé que la recourante avait une capacité de travail exigible dans l’activité d’assistante en information documentaire de 75 % et de 50 % dans celle d’assistante socio-éducative. Il a retenu que, dans une activité respectant toutes les limitations fonctionnelles décrites, l’exigibilité était de 100 % dès la fin de son apprentissage. Selon ce médecin, l’activité d’assistante en information documentaire est en particulier exigible à 100 % si elle peut être aménagée en fonction des limitations fonctionnelles (activité de bureau avec conseil à la clientèle). Bien que le rapport du Dr C., dont les conclusions ont été reprises par l’Office intimé, constitue un rapport d’examen au sens de l'article 49 al. 2 RAI et non une expertise au sens de l’article 44 LPGA , il convient de lui reconnaître pleine valeur probante, dès lors qu’il remplit les critères posés par la jurisprudence en matière d’expertise. Le rapport contextualise en effet de manière aboutie et efficace la situation de la recourante et fait suite à un examen complet et diligemment mené. Il contient une anamnèse mettant l’accent sur les éléments pertinents (anamnèse professionnelle) et tenant compte des plaintes exprimées par la recourante et des avis médicaux au dossier. Le rapport fixe les limitations fonctionnelles dont il doit être tenu compte s’agissant de l’activité professionnelle exigible de la recourante. Le praticien procède à une description claire et détaillée des interférences médicales et met en évidence les diverses difficultés que les deux activités examinées (assistante en information documentaire et assistante socio-éducative) génèrent. Qui plus est, la réponse à la question litigieuse est clairement énoncée et fondée sur une anamnèse complète prenant en compte le déroulement des activités quotidiennes ainsi que l’examen clinique et radiologique. La motivation est relativement courte mais intelligible et cohérente. En outre, le médecin étant spécialiste en médecine physique-rééducation et rhumatologie, il apparaît posséder les qualifications nécessaires pour procéder à un examen médical pertinent. L'appréciation ainsi faite par le Dr C. est complète, objective et convaincante. C'est dès lors à juste titre que l’office intimé a repris les conclusions de ce rapport pour fonder la décision querellée. c) Partant, on ne peut pas suivre la recourante lorsqu’elle soutient que l’activité d’ assistante en information documentaire serait complètement inadaptée aux limitations fonctionnelles qu’elle doit observer mais qu’en revanche, l’activité d’assistante socio-éducative exercée à 50 % en remplirait toutes les conditions. En l’espèce, le rapport du Dr C. met en évidence – en prenant en compte les plaintes de l’assurée – la différence entre les deux activités pour la recourante et, à l’inverse de ce qu’elle prétend, explique le caractère plus contraignant de l’activité d’assistante socio-éducative pour elle, en lien avec les limitations fonctionnelles. En sus, de fait, la recourante travaille à un taux de 70 %, soit supérieur de 20 % à la limitation du taux d’occupation de 50 % qu’elle invoque. Elle travaille à 50 % en tant qu’assistante socio-éducative – alors que cette activité est considérée comme moins adaptée que celle d’ assistante en information documentaire – et à 20 % dans cette dernière profession qu’elle considère pourtant comme totalement inadaptée. Au demeurant, aucun médecin n’a jamais constaté que la recourante avait travaillé au-dessus de ses forces. On ne peut non plus suivre la recourante lorsqu’elle soutient que 50 % de son temps doit être consacré à la pratique d’exercices physiques et aux actes ordinaires de la vie quotidienne pour ne pas aggraver sa situation physique. Non seulement aucun avis médical n’atteste cette affirmation mais, qui plus est, force est de constater qu’elle a effectué avec succès deux apprentissages à temps plein, sur une durée de 5 ans au total et ce, sans dégradation de son état de santé alors même que le SMR ne lui reconnaît pas – sans adaptations spécifiques – une pleine capacité de travail dans les professions apprises. En outre, tous les certificats de travail au dossier relatent des activités variées et exigeantes, la recourante y étant néanmoins globalement évaluée de manière élogieuse, notamment quant à son indépendance et son autonomie. S’agissant des taux retenus par le Dr C., ils ne sont en définitive contredits que par le Dr A., qui retient une activité exigible de 50 % dans celle d’ assistante en information documentaire, activité pour laquelle la recourante se déclare pourtant en totale incapacité. Au demeurant, cet avis n’est nullement motivé. Le Dr C. a indiqué dans son rapport que les éléments à sa disposition ne lui permettaient pas de s’aligner sur les observations faites par B. Il en a néanmoins tenu compte dès lors qu’il n’a conclu à une exigibilité pleine dans l’activité d’assistante en information documentaire qu’à la condition d’aménagements spécifiques. Qui plus est, en comparant la perte de rendement dans cette profession, estimée de manière "approximative" et sans connaissances médicales, entre 30 % et 50 % par B. et les conclusions du Dr C. – 75 % exigible sans adaptation –, il ne ressort qu’une différence de 5 % par rapport à la valeur maximale de la fourchette posée par B. On ne saurait ainsi, quoi qu’il en soi, mettre en cause la pertinence du rapport du Dr C. sur cette distinction toute théorique. On ne saurait non plus suivre la recourante dans son argument relatif à la distinction selon que la formation d’assistante en information documentaire ait été effectuée par la voie d’un CFC ou d’un bachelor. En effet, son curriculum vitae démontre qu’elle a multiplié les stages d’ assistante en information documentaire. Les certificats de travail y relatifs mettent en lumière qu’elle les a accomplis à pleine satisfaction et qu’elle a toujours effectué toutes les tâches qui composent le travail de bibliothécaire, tant "manuelles" que "intellectuelles". Objectivement, on ne peut dès lors retenir qu’une séparation des tâches dévolues s’opérerait au sein de la profession d'assistante en information documentaire selon que l’on soit titulaire d’un CFC ou d’un bachelor. C’est donc à raison que le Dr C. a pris en compte l’ensemble des tâches de l’activité afin de déterminer à quel taux elle était exigible. d) En conséquence de ce qui précède, les griefs de la recourante apparaissent mal fondés, de sorte qu'il n'y a pas lieu de s'écarter de l'appréciation des preuves à laquelle a procédé l’office intimé. Vu l’état du dossier, en particulier le rapport d’examen du SMR du 13 janvier 2014 auquel une pleine valeur probante doit être reconnue, il n’y a pas besoin de faire procéder à l’expertise médicale sollicitée par la recourante.</w:t>
      </w:r>
    </w:p>
    <w:p>
      <w:r>
        <w:rPr>
          <w:b/>
        </w:rPr>
        <w:t>E. 5</w:t>
      </w:r>
    </w:p>
    <w:p>
      <w:r>
        <w:t>a) Dans un ultime grief, la recourante conteste la méthode de calcul de l’invalidité appliquée par l’office intimé ainsi que les calculs effectués par celui-ci. b) Pour déterminer la méthode applicable au cas particulier, il faut à chaque fois se demander ce que l'assuré aurait fait si l'atteinte à la santé n'était pas survenue ( ATF 137 V 334 cons. 3.2 et les références). C’est partant à tort que X. soutient que la méthode mixte aurait dû être appliquée. En effet, c’est bien la méthode générale de comparaison des revenus qui est pertinente (cf. ATF 137 V 334 cons. 3.1.1 et les références), attendu que, sans invalidité, elle indique qu’elle travaillerait à 100 %. c) S’agissant enfin des calculs retenus dans la comparaison des revenus, force est de constater que la recourante n’amène aucun argument à cet égard. Au vu du dossier, il n’y a ainsi pas de raison de remettre en cause les calculs opérés par l’intimé.</w:t>
      </w:r>
    </w:p>
    <w:p>
      <w:r>
        <w:rPr>
          <w:b/>
        </w:rPr>
        <w:t>E. 6</w:t>
      </w:r>
    </w:p>
    <w:p>
      <w:r>
        <w:t>oct. 2006 (5erévision AI), en vigueur depuis le 1erjanv. 2008 (RO20075129;FF20054215).9Abrogée par le ch. II 25 de la LF du 6 oct. 2006 (Réforme de la péréquation financière), avec effet au 1erjanv. 2008 (RO20075779;FF20055641).10Abrogée par le ch. I de la LF du 6 oct. 2006 (5erévision AI), avec effet au 1erjanv. 2008 (RO20075129;FF20054215).11Introduit par le ch. 8 de l'annexe à la LF du 6 oct. 2000 sur la partie générale du droit des assurances sociales (RO20023371; FF1991II 181 888,1994V 897,19994168). Abrogé par le ch. I de la LF du 6 oct. 2006 (5erévision AI), avec effet au 1erjanv. 2008 (RO20075129;FF20054215).</w:t>
      </w:r>
    </w:p>
    <w:p>
      <w:r>
        <w:t>1L'assuré a droit à une rente aux conditions suivantes:</w:t>
      </w:r>
    </w:p>
    <w:p>
      <w:r>
        <w:t>a. sa capacité de gain ou sa capacité d'accomplir ses travaux habituels ne peut pas être rétablie, maintenue ou améliorée par des mesures de réadaptation raisonnablement exigibles;</w:t>
      </w:r>
    </w:p>
    <w:p>
      <w:r>
        <w:t>b. il a présenté une incapacité de travail (art. 6 LPGA2) d'au moins 40 % en moyenne durant une année sans interruption notable;</w:t>
      </w:r>
    </w:p>
    <w:p>
      <w:r>
        <w:t>c. au terme de cette année, il est invalide (art. 8 LPGA) à 40 % au moins.</w:t>
      </w:r>
    </w:p>
    <w:p>
      <w:r>
        <w:t>2La rente est échelonnée selon le taux d'invalidité:</w:t>
      </w:r>
    </w:p>
    <w:p>
      <w:r>
        <w:t>Taux d'invalidité</w:t>
      </w:r>
    </w:p>
    <w:p>
      <w:r>
        <w:t>Droit à la rente en fraction d'une rente entière</w:t>
      </w:r>
    </w:p>
    <w:p>
      <w:r>
        <w:t>40 % au moins</w:t>
      </w:r>
    </w:p>
    <w:p>
      <w:r>
        <w:t>un quart</w:t>
      </w:r>
    </w:p>
    <w:p>
      <w:r>
        <w:t>50 % au moins</w:t>
      </w:r>
    </w:p>
    <w:p>
      <w:r>
        <w:t>une demie</w:t>
      </w:r>
    </w:p>
    <w:p>
      <w:r>
        <w:t>60 % au moins</w:t>
      </w:r>
    </w:p>
    <w:p>
      <w:r>
        <w:t>trois quarts</w:t>
      </w:r>
    </w:p>
    <w:p>
      <w:r>
        <w:t>70 % au moins</w:t>
      </w:r>
    </w:p>
    <w:p>
      <w:r>
        <w:t>rente entière</w:t>
      </w:r>
    </w:p>
    <w:p>
      <w:r>
        <w:t>1Nouvelle teneur selon le ch. I de la LF du 6 oct. 2006 (5erévision AI), en vigueur depuis le 1erjanv. 2008 (RO20075129;FF20054215).2RS830.1</w:t>
      </w:r>
    </w:p>
    <w:p>
      <w:r>
        <w:t>Si l'assureur doit recourir aux services d'un expert indépendant pour élucider les faits, il donne connaissance du nom de celui-ci aux parties. Celles-ci peuvent récuser l'expert pour des raisons pertinentes et présenter des contre-propositions.</w:t>
      </w:r>
    </w:p>
    <w:p>
      <w:r>
        <w:t>1Les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w:t>
      </w:r>
    </w:p>
    <w:p>
      <w:r>
        <w:t>2Les services médicaux régionaux peuvent au besoin procéder eux-mêmes à des examens médicaux sur la personne des assurés. Ils consignent les résultats de ces examens par écrit.</w:t>
      </w:r>
    </w:p>
    <w:p>
      <w:r>
        <w:t>3Les services médicaux régionaux se tiennent à la disposition des offices AI de leur région pour les conseiller.</w:t>
      </w:r>
    </w:p>
    <w:p>
      <w:r>
        <w:t>1Nouvelle teneur selon le ch. I de l'O du 28 sept. 2007, en vigueur depuis le 1erjanv. 2008 (RO20075155).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