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CDP.2015.330 vom 29. November 2016</w:t>
      </w:r>
    </w:p>
    <w:p>
      <w:r>
        <w:t>NE Tribunal cantonal, 2016-11-29, FR</w:t>
      </w:r>
    </w:p>
    <w:p>
      <w:r>
        <w:rPr>
          <w:b/>
        </w:rPr>
        <w:t xml:space="preserve">Quelle: </w:t>
      </w:r>
      <w:r>
        <w:t>https://mcp.opencaselaw.ch/entscheid/ne_gerichte_CDP.2015.330</w:t>
      </w:r>
    </w:p>
    <w:p>
      <w:r>
        <w:t>FR: NE_GERICHTE CDP.2015.330 du 29 novembre 2016</w:t>
      </w:r>
    </w:p>
    <w:p>
      <w:r>
        <w:t>IT: NE_GERICHTE CDP.2015.330 del 29 novembre 2016</w:t>
      </w:r>
    </w:p>
    <w:p>
      <w:pPr>
        <w:pStyle w:val="Heading2"/>
      </w:pPr>
      <w:r>
        <w:t>Erwägungen</w:t>
      </w:r>
    </w:p>
    <w:p>
      <w:r>
        <w:rPr>
          <w:b/>
        </w:rPr>
        <w:t>E. 1</w:t>
      </w:r>
    </w:p>
    <w:p>
      <w:r>
        <w:t>lorsqu'il y a été autorisé par son conjoint ou par le juge;</w:t>
      </w:r>
    </w:p>
    <w:p>
      <w:r>
        <w:rPr>
          <w:b/>
        </w:rPr>
        <w:t>E. 2</w:t>
      </w:r>
    </w:p>
    <w:p>
      <w:r>
        <w:t>lorsque l'affaire ne souffre aucun retard et que le conjoint est empêché par la maladie, l'absence ou d'autres causes semblables de donner son consentement.</w:t>
      </w:r>
    </w:p>
    <w:p>
      <w:r>
        <w:t>3Chaque époux s'oblige personnellement par ses actes et il oblige solidairement son conjoint en tant qu'il n'excède pas ses pouvoirs d'une manière reconnaissable pour les tiers.</w:t>
      </w:r>
    </w:p>
    <w:p>
      <w:r>
        <w:t>1L'assuré peut, moyennant un préavis de trois mois, changer d'assureur pour la fin d'un semestre d'une année civile.</w:t>
      </w:r>
    </w:p>
    <w:p>
      <w:r>
        <w:t>2Lors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(office)1au moins deux mois à l'avance et signaler à l'assuré qu'il a le droit de changer d'assureur.2</w:t>
      </w:r>
    </w:p>
    <w:p>
      <w:r>
        <w:t>3Si l'assuré doit changer d'assureur parce qu'il change de résidence ou d'emploi, l'affiliation prend fin au moment du changement de résidence ou de la prise d'emploi auprès d'un nouvel employeur.</w:t>
      </w:r>
    </w:p>
    <w:p>
      <w:r>
        <w:t>4L'affiliation prend fin avec le retrait de l'autorisation de pratiquer conformément à l'art. 43 LSAMal3lorsque l'assureur cesse, volontairement ou par décision administrative, de pratiquer l'assurance-maladie sociale.4</w:t>
      </w:r>
    </w:p>
    <w:p>
      <w:r>
        <w:t>5L'affiliation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w:t>
      </w:r>
    </w:p>
    <w:p>
      <w:r>
        <w:t>6Lorsque le changement d'assureur est impossible du fait de l'ancien assureur, celui-ci doit réparer le dommage qui en résulte pour l'assuré, en particulier la différence de prime.5</w:t>
      </w:r>
    </w:p>
    <w:p>
      <w:r>
        <w:t>7Lorsque l'assuré change d'assureur, l'ancien assureur ne peut le contraindre à résilier également les assurances complémentaires au sens de l'art. 2, al. 2, LSAMal conclues auprès de lui.6</w:t>
      </w:r>
    </w:p>
    <w:p>
      <w:r>
        <w:t>8L'assureur ne peut pas résilier les assurances complémentaires au sens de l'art. 2, al. 2, LSAMal au seul motif que l'assuré change d'assureur pour l'assurance-maladie sociale.7</w:t>
      </w:r>
    </w:p>
    <w:p>
      <w:r>
        <w:t>1La désignation de l'unité administrative a été adaptée en application de l'art. 16 al. 3 de l'O du 17 nov. 2004 sur les publications officielles (RO20044937).2Nouvelle teneur selon le ch. I de la LF du 24 mars 2000, en vigueur depuis le 1eroct. 2000 (RO20002305;FF1999727).3RS832.124Nouvelle teneur selon le ch. 2 de l'annexe à la L du 26 sept. 2014 sur la surveillance de l'assurance-maladie, en vigueur depuis le 1erjanv. 2016 (RO20155137;FF20121725).5Introduit par le ch. I de la LF du 24 mars 2000, en vigueur depuis le 1eroct. 2000 (RO20002305;FF1999727).6Introduit par le ch. I de la LF du 24 mars 2000 (RO20002305;FF1999727). Nouvelle teneur selon le ch. 2 de l'annexe à la L du 26 sept. 2014 sur la surveillance de l'assurance-maladie, en vigueur depuis le 1erjanv. 2016 (RO20155137; FF20121725).7Introduit par le ch. I de la LF du 24 mars 2000 (RO20002305;FF1999727). Nouvelle teneur selon le ch. 2 de l'annexe à la L du 26 sept. 2014 sur la surveillance de l'assurance-maladie, en vigueur depuis le 1erjanv. 2016 (RO20155137; FF20121725).</w:t>
      </w:r>
    </w:p>
    <w:p>
      <w:r>
        <w:rPr>
          <w:b/>
        </w:rPr>
        <w:t>E. 7</w:t>
      </w:r>
    </w:p>
    <w:p>
      <w:r>
        <w:t>al. 2, 2 e phrase LAMal ). Ainsi, un assuré qui est d’avis qu’il subit un dommage du fait du retard mis par son nouvel assureur à communiquer son affiliation à son ancien assureur doit s’adresser à son nouvel assureur pour obtenir réparation du dommage ainsi causé. 5. Il est statué sans frais, la procédure étant en principe gratuite (art. 61 let. a LPGA). Par ailleurs, la recourante n’a pas droit à des dépens, bien qu’elle obtienne gain de cause, dès lors qu’elle a agi sans l’intermédiaire d’un mandataire professionnel et qu’elle n’allègue pas de frais particuliers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