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CDP.2014.51 vom 18. Oktober 2010</w:t>
      </w:r>
    </w:p>
    <w:p>
      <w:r>
        <w:t>NE Tribunal cantonal, 2010-10-18, FR</w:t>
      </w:r>
    </w:p>
    <w:p>
      <w:r>
        <w:rPr>
          <w:b/>
        </w:rPr>
        <w:t xml:space="preserve">Quelle: </w:t>
      </w:r>
      <w:r>
        <w:t>https://mcp.opencaselaw.ch/entscheid/ne_gerichte_CDP.2014.51_d20101018</w:t>
      </w:r>
    </w:p>
    <w:p>
      <w:r>
        <w:t>FR: NE_GERICHTE CDP.2014.51 du 18 octobre 2010</w:t>
      </w:r>
    </w:p>
    <w:p>
      <w:r>
        <w:t>IT: NE_GERICHTE CDP.2014.51 del 18 ottobre 2010</w:t>
      </w:r>
    </w:p>
    <w:p>
      <w:pPr>
        <w:pStyle w:val="Heading2"/>
      </w:pPr>
      <w:r>
        <w:t>Regeste</w:t>
      </w:r>
    </w:p>
    <w:p>
      <w:r>
        <w:t>Déni de justice formel. Responsabilité de l’Etat pour des dommages causés par le gibier.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cantons prennent des mesures pour prévenir les dommages dus à la faune sauvage.</w:t>
      </w:r>
    </w:p>
    <w:p>
      <w:r>
        <w:rPr>
          <w:b/>
        </w:rPr>
        <w:t>E. 2</w:t>
      </w:r>
    </w:p>
    <w:p>
      <w:r>
        <w:t>Les cantons peuvent ordonner ou autoriser en tout temps des mesures contre certains animaux protégés ou pouvant être chassés, lorsquils causent des dégâts importants. Seuls des personnes titulaires dune autorisation de chasser ou des organes de surveillance peuvent être chargés de lexécution de ces mesures.1</w:t>
      </w:r>
    </w:p>
    <w:p>
      <w:r>
        <w:t>2bis Le Conseil fédéral peut désigner des espèces protégées pour lesquelles la compétence dordonner les mesures prévues à lal. 2 appartient à lOffice fédéral.2</w:t>
      </w:r>
    </w:p>
    <w:p>
      <w:r>
        <w:rPr>
          <w:b/>
        </w:rPr>
        <w:t>E. 3</w:t>
      </w:r>
    </w:p>
    <w:p>
      <w:r>
        <w:t>Les cantons déterminent les mesures qui peuvent légalement être prises à titre individuel en vue de protéger du gibier les animaux domestiques, les biens-fonds et les cultures.3 Le Conseil fédéral désigne les espèces protégées contre lesquelles il est permis de prendre de telles mesures.</w:t>
      </w:r>
    </w:p>
    <w:p>
      <w:r>
        <w:rPr>
          <w:b/>
        </w:rPr>
        <w:t>E. 4</w:t>
      </w:r>
    </w:p>
    <w:p>
      <w:r>
        <w:t>Lorsque la population danimaux dune espèce protégée est trop nombreuse et quil en résulte dimportants dommages ou un grave danger, les cantons peuvent prendre des mesures pour la réduire, avec lassentiment préalable du Département.</w:t>
      </w:r>
    </w:p>
    <w:p>
      <w:r>
        <w:t>1Nouvelle teneur selon le ch. II 11 de lannexe à la LF du 22 mars 2002 sur ladaptation de dispositions du droit fédéral en matière dorganisation, en vigueur depuis le 1erfév. 2003 (RO2003187 188; FF20013657).</w:t>
      </w:r>
    </w:p>
    <w:p>
      <w:r>
        <w:t>2Introduit par le ch. II 11 de lannexe à la LF du 22 mars 2002 sur ladaptation de dispositions du droit fédéral en matière dorganisation, en vigueur depuis le 1erfév. 2003 (RO2003187 188; FF20013657).</w:t>
      </w:r>
    </w:p>
    <w:p>
      <w:r>
        <w:t>3Nouvelle teneur selon le ch. II 11 de lannexe à la LF du 22 mars 2002 sur ladaptation de dispositions du droit fédéral en matière dorganisation, en vigueur depuis le 1erfév. 2003 (RO2003187 188; FF20013657).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