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CDP.2014.300 vom 11. Juni 2015</w:t>
      </w:r>
    </w:p>
    <w:p>
      <w:r>
        <w:t>NE Tribunal cantonal, 2015-06-11, FR</w:t>
      </w:r>
    </w:p>
    <w:p>
      <w:r>
        <w:rPr>
          <w:b/>
        </w:rPr>
        <w:t xml:space="preserve">Quelle: </w:t>
      </w:r>
      <w:r>
        <w:t>https://mcp.opencaselaw.ch/entscheid/ne_gerichte_CDP.2014.300</w:t>
      </w:r>
    </w:p>
    <w:p>
      <w:r>
        <w:t>FR: NE_GERICHTE CDP.2014.300 du 11 juin 2015</w:t>
      </w:r>
    </w:p>
    <w:p>
      <w:r>
        <w:t>IT: NE_GERICHTE CDP.2014.300 del 11 giugno 2015</w:t>
      </w:r>
    </w:p>
    <w:p>
      <w:pPr>
        <w:pStyle w:val="Heading2"/>
      </w:pPr>
      <w:r>
        <w:t>Erwägungen</w:t>
      </w:r>
    </w:p>
    <w:p>
      <w:r>
        <w:rPr>
          <w:b/>
        </w:rPr>
        <w:t>E. 1</w:t>
      </w:r>
    </w:p>
    <w:p>
      <w:r>
        <w:t>Dans la mesure où les causes sont étroitement liées, elles seront traitées dans le même arrêt. Interjetés dans les formes et délai légaux, les recours sont recevables.</w:t>
      </w:r>
    </w:p>
    <w:p>
      <w:r>
        <w:rPr>
          <w:b/>
        </w:rPr>
        <w:t>E. 2</w:t>
      </w:r>
    </w:p>
    <w:p>
      <w:r>
        <w:t>En préambule, il sied de rappeler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 2.1 et les références citées). Ils peuvent cependant être pris en considération dans la mesure où ils sont étroitement liés à l'objet du litige et de nature à influencer l'appréciation au moment où la décision attaquée a été rendue (arrêts du TF des 28.07.2008 [9C_449/2007] cons. 2.2 et 24.02.2009 [9C_327/2008] cons. 4). En l'espèce, le rapport médical du 27 octobre 2014 du Dr F. a certes été rendu postérieurement à la décision litigieuse, il cite toutefois l'état de santé du recourant prévalant lorsque celle-ci a été rendue de telle sorte qu'on peut admettre que la situation décrite correspond à l'évidence à celle qui était déterminante au moment de la décision. Dans la mesure où il s'agit de moyens de preuve portant sur l'état existant lors de la décision litigieuse, il doit en être tenu compte.</w:t>
      </w:r>
    </w:p>
    <w:p>
      <w:r>
        <w:rPr>
          <w:b/>
        </w:rPr>
        <w:t>E. 3</w:t>
      </w:r>
    </w:p>
    <w:p>
      <w:r>
        <w:t>a) Selon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l'article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qu'au terme de cette année, il est invalide (art. 8 LPGA) à 40 % au moins (let. c). Selon l'article 29 ter RAI, il y a interruption notable de l'incapacité de travail au sens de l'article 28 al. 1 let. b LAI lorsque l'assuré a été entièrement apte au travail pendant 30 jours consécutifs au moins. Une invalidité de 40 % au moins donne droit à un quart de rente, une invalidité de 50 % au moins à une demi-rente, une invalidité de 60 % au moins à trois-quarts de rente et une invalidité de 70 % au moins à une rente entière (art. 28 al. 2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 4, arrêt du TF du 17.11.2014 [ 9C_444/2014 ] cons. 3.1). c) Selon l'article 16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chiffrer le revenu d'invalide, on peut se référer aux données résultant de l'Enquête suisse sur la structure des salaires (ESS) de l'Office fédéral de la statistique. Cette possibilité est retenue en particulier lorsque l'assuré n'a repris, après la survenance de l'atteinte à la santé, aucune activité lucrative ou aucune activité lucrative pouvant être raisonnablement attendue de lui (ATF 129 V 222 cons. 4.4; 126 V 75 cons. 3b/bb). Le recours aux données statistiques concerne avant tout les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non qualifiées compatibles avec des limitations fonctionnelles peu contraignantes (arrêt du TF du 31.03.2011 [9C_11/2011] cons.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 déduction, qui doit être effectuée globalement, résulte d'une évaluation et doit être brièvement motivée par l'administration. Le juge des assurances sociales ne peut, sans motif pertinent, substituer son appréciation à celle de l'administration (ATF 126 V 75 ) . Cela étant, lorsqu'elle examine l'usage qu'a fait l'administration de son pouvoir d'appréciation pour fixer l'étendue de l'abattement sur le revenu d'invalide, la juridiction cantonale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 5.3).</w:t>
      </w:r>
    </w:p>
    <w:p>
      <w:r>
        <w:rPr>
          <w:b/>
        </w:rPr>
        <w:t>E. 4</w:t>
      </w:r>
    </w:p>
    <w:p>
      <w:r>
        <w:t>a) Selon l'article 43 LPGA ,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l'article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D'après l'article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 3.4.2.6 p. 256). b) Selon la jurisprudence relative aux articles 29 al. 1 Cst., 30 al. 1 Cst. et 6 §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de récusation seulement lorsqu'une prévention effective est établie, car une disposition interne de l'expert ne peut guère être prouvée; il suffit que des circonstances donnent l'apparence de la prévention et fassent redouter une activité partiale. Seules des circonstances constatées objectivement doivent être prises en considération; les impressions individuelles d'une des parties au procès ne sont pas décisives. Le motif de récusation doit être invoqué dès que possible. Il serait en effet contraire à la bonne foi d'attendre l'issue d'une procédure pour tirer ensuite argument, à l'occasion d'un recours, du motif de récusation, alors que celui-ci était déjà connu auparavant (ATF non publiés du 01.06.2006 [I 742/04] cons. 3.1; du 03.02.2006 [I 832/04] cons. 2.1.1; ATF 128 V 85 cons. 2b, 125 V 353 cons. 3b/ee, 120 V 357 cons. 3a). Il convient toutefois de distinguer entre les motifs formels et les motifs matériels. Les motifs de récusation qui sont énoncés dans la loi (art.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méfiance quant à l'impartialité de ce dernier. Bien au contraire, ce grief devra être examiné dans le cadre de l'appréciation des preuves (ATF non publié du 06.02.2007 [I 127/06 ] cons. 3.2; ATF 132 V 93 cons. 6). Le fait qu'un expert soit régulièrement chargé par l'assurance-accidents ou l'assurance invalidité d'établir des expertises ne constitue pas à lui seul un motif suffisant pour conclure au manque d'objectivité et à la partialité dudit expert (SVR 2008 IV n°22 p. 69; ATF non publiés du 30.09.2002 [U7/02 ] cons. 4.1 et du 14.12.2007 [I 947/06]).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 3a, 122 V 157 cons. 1c).</w:t>
      </w:r>
    </w:p>
    <w:p>
      <w:r>
        <w:rPr>
          <w:b/>
        </w:rPr>
        <w:t>E. 5</w:t>
      </w:r>
    </w:p>
    <w:p>
      <w:r>
        <w:t>a) A titre liminaire, le recourant reproche à l'OAI de s'être fondé sur un rapport qui a été établi par un expert partial. Le 28 avril 2014, l'OAI a informé le recourant qu'une expertise médicale était nécessaire en lui communiquant le nom de l'expert, à savoir le Dr H.. Il l'a rendu attentif à son droit de s'opposer à l'expertise et d'obtenir des renseignements complémentaires. Le recourant s'y est néanmoins rendu sans soulever d'objection. Suite à l'expertise du 12 juin 2014, le recourant s'est adressé à l'OAI par courrier du 17 juin 2014 pour dénoncer le comportement agressif de l'expert durant le déroulement de l'expertise. Dans son rapport d'expertise, le Dr H. a notamment indiqué s'agissant des mesures de réadaptation professionnelle "Oui, des mesures de réadaptation professionnelle sont envisageables. Néanmoins, il est recommandé de bien apprécier la situation dans son ensemble devant le manque de coopération de l'assuré et la contradiction relevée ainsi que la disparition de la boiterie. Il semble également loisible de tenir compte du respect strict, voire sévère, de la procédure médico-assécurologique par un assuré qui se présente en retard au rendez-vous et qui ne met pas son natel sur silencieux". Bien que maladroite, cette remarque n'exprime que son étonnement face au retard de l'assuré qui a en outre répondu au téléphone durant l'expertise. Elle ne permet pas de retenir une quelconque prévention à l'endroit du recourant. Il ne ressort en outre aucunement du rapport des éléments pouvant laisser douter d'un manque d'objectivité de la part de l'expert. Par ailleurs, et conformément à la jurisprudence précitée, le fait que ce praticien soit régulièrement mandaté par l'assurance-invalidité pour effectuer des expertises ne constitue pas à lui seul un motif suffisant pour conclure à sa partialité. A l'aune de ce qui précède, le grief de la partialité de l'expert doit être rejeté. Celui de la valeur probante de son rapport d'expertise sera examiné ci-dessous. b) En l'espèce, est litigieuse la question de savoir si le recourant a droit à une rente AI et, en particulier, si au terme de l'année qui a suivi le début de son incapacité de travail, il était invalide à 40 % au moins (art. 28 al. 1 let. c LAI). Pour ce faire, il y a tout d'abord lieu de se référer à l'incapacité de travail médico-théorique fixée par les médecins. Dans un rapport du 24 septembre 2012, le Dr C. a posé le diagnostic de lombosciatologies droites sur contracture du pyramidal droit, cervicalgies mécaniques et défaut de couverture de la tête fémorale des deux côtés. Le médecin a précisé qu'un examen neurologique serait indiqué invoquant une éventuelle polyneuropathie. Le Dr D., spécialiste FMH en neurologie, a retenu le diagnostic de douleurs lombaires chroniques d'origines incertaines. L'examen neurologique a mis en évidence un possible Lasègue à partir de 60° à gauche ainsi qu'une hypopallesthésie à 4/8 aux quatre membres sans diminution des réflexes. A la lumière de ces éléments, il a invoqué un éventuel syndrome de la personne raide ou un début de polymyalgia rheumatica, une neuromyotonie ou une myotonie congénitale à bas bruit se rajoutant sur des troubles ostéo-dégénératifs (rapport du 11.10.2012). Dans un avis du 17 décembre 2012, le Dr E., médecin spécialiste FMH à l'Hôpital de l'Ile, a retenu le diagnostic de dysplasie bilatérale de hanche avec coxarthrose débutante à gauche. Le médecin a précisé son appréciation en retenant également comme diagnostic secondaire des lombalgies et cervicalgies chroniques sur dégénérescence pluri-étagée ainsi qu'une présomption d'allergie au métal (rapport du 31.03.2013). Le Dr F., spécialiste FMH en médecine générale, médecin traitant de l'assuré, a indiqué que le travail de chantier n'était plus exigible tout en reconnaissant une capacité de travail à 100 % dans une activité adaptée (rapports des 03.04.2013, 26.06.2013). Interpellé par l'OAI, le Dr G., rhumatologue FMH, a confirmé le diagnostic de coxodynie bilatérale, lombalgies chroniques, cervico-scapulalgie bilatérale et épicondylalgies. Il a reconnu l'inexigibilité de la reprise de l'ancienne activité. Enfin, il a estimé qu'on ne pouvait s'attendre à une amélioration de la capacité de travail du recourant (rapport du 14.01.2014). Au vu de la discordance des avis médicaux s'agissant de la capacité de travail et des limitations fonctionnelles du recourant, l’OAI a complété l’instruction en s’adressant au Dr H. pour effectuer une expertise orthopédique. Dans son rapport du 12 juin 2014, le spécialiste en chirurgie orthopédique et traumatologie de l'appareil locomoteur a posé les diagnostics ayant une répercussion sur la capacité de travail de coxa valga bilatérale sur dysplasie bilatérale de hanche avec coxarthrose débutante gauche et défaut de couverture des têtes fémorales; spondylarthrose toute débutante et limitée au rachis lombaire haut avec maladie discale L1/L2 et hernie discale antérieure. L'expert a souligné un manque de participation de l'assuré dès le début de l'expertise et une amplification des signes en relevant des divergences entre ses plaintes et l'examen clinique. Il a retenu que les limitations fonctionnelles du recourant n'étaient plus compatibles avec l'activité de manœuvre dans le bâtiment mais permettaient une pleine capacité de travail sans baisse de rendement dans une activité adaptée. Au regard des pièces médicales ci-dessus, il faut dès lors admettre que le recourant n'est plus en mesure d'exercer son ancienne activité dans le bâtiment au regard de ses limitations fonctionnelles. Il faut en particulier considérer que les médecins ont mis en exergue des troubles statiques et dégénératifs du rachis cervical et lombaire ainsi qu'une dysplasie bilatérale de hanche. Toutefois, il est également établi que le recourant présente d'éventuels troubles neurologiques. Aussi, suite au rapport du Dr C. du 24 septembre 2012 suggérant un examen neurologique, le Dr D., neurologue, a indiqué que le recourant ne présentait aucun signe de polyneuropathie. Néanmoins, il a mis en évidence une hypopallesthésie aux quatre membres ainsi que des anomalies diffuses à l'examen à l'aiguille fine. Ce faisant, le médecin a évoqué un éventuel syndrome de la personne raide; un début de polymyagia rheumatica; une neuromyotonie ou éventuellement une myotonie congénitale à bas bruit se rajoutant sur des troubles ostéo-dégénératifs; un déficit en vitamine B12 ou en acide folique, ou encore une éventuelle syphilis débutante. Le Dr D. a indiqué qu'un contrôle neurologique devrait être effectué à moyen terme. De surcroît, les rapports médicaux émanant de l'Hôpital de l'Ile, Hôpital universitaire de Berne font état d'une éventuelle intolérance au métal (rapports des 31.03.2013 et 10.06.2013). Enfin, dans un rapport du 21 février 2014, le Dr K., cardiologue FMH, a exposé que l'assuré présentait une haute tension artérielle (HTA) avec un stress sous-jacent lié à des douleurs dorsales et une inactivité professionnelle. Même si, compte tenu des incertitudes relatives à la capacité de travail du recourant, c'est à juste titre que l'intimé a complété son instruction, malheureusement l'OAI s'est limité à mettre en œuvre une expertise orthopédique de sorte qu’il n’est pas possible, sur la base de ce rapport d'expertise qui ne se prononce que sur l'aspect orthopédique, de déterminer si les autres affections du recourant relevées ci-dessus permettent l’exercice d'une activité aux conditions fixées par l'expert (capacité de travail de 100 % dans une activité adaptée, sans aucune baisse de rendement). On relèvera de surcroît que l'on ne saurait sans autre se référer à la capacité de travail retenue par le Dr H. qui s'est prononcé sur un dossier et une anamnèse incomplets dans la mesure où plusieurs avis médicaux n'y figurent pas. Les appréciations du SMR ne sont pas non plus de nature à lever le doute qui subsiste sur la capacité de travail du recourant, puisque le Dr I. se réfère pour l'essentiel à l'avis du Dr H., dont elle reprend les arguments. Il suit de ce qui précède qu'en l'état du dossier, il n'est pas possible, au degré de vraisemblance prépondérante, d'affirmer que les constatations médicales émanant de spécialistes de l'hôpital universitaire de Berne, d'un neurologue et d'un cardiologue ne puissent inférer sur la capacité de travail du recourant. L'OAI ne pouvait dès lors pas faire l'économie d'une instruction complémentaire. Il lui incombait ainsi d'établir plus concrètement dans quelle mesure les limitations liées aux éventuels troubles neurologiques, allergologiques et cardiologiques étaient de nature à influencer la capacité de travail du recourant, et de déterminer si ces affections étaient compatibles avec l'exercice à 100 % d'une activité adaptée. Pour ce motif, le recours doit être admis et la cause renvoyée à l'intimé pour instruction complémentaire.</w:t>
      </w:r>
    </w:p>
    <w:p>
      <w:r>
        <w:rPr>
          <w:b/>
        </w:rPr>
        <w:t>E. 6</w:t>
      </w:r>
    </w:p>
    <w:p>
      <w:r>
        <w:t>Demeure litigieuse la question de savoir si l'assistance d'un avocat dans la procédure d'audition était nécessaire. 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(ATF 131 V 153 , p. 155 cons.3.1; Kieser , ATSG-Kommentar, no 22 ad art. 37). Les conditions d'octroi de l'assistance judiciaire gratuite sont en principe remplies si les conclusions ne paraissent pas vouées à l'échec, si le requérant est dans le besoin et si l'assistance d'un avocat est nécessaire ou du moins indiquée ( ATF 125 V 201 cons. 4a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 ATF 103 V 46 cons. 1b, ATF 130 I 180 cons. 2.2, 128 I 225 cons. 2.5.2 et les références).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no 3, p. 123) ainsi que dans la procédure d'audition, applicable depuis le 1 er juillet 2006 (art. 69 al.1 LAI, introduit par la modification du 16.12.2005). Toutefois, le point de savoir si elles sont réalisées doit être examiné à l'aune de critères plus sévères dans la procédure administrative ( Kieser , op.cit., no 20 ad art. 37). En ce qui concerne le point de savoir si l'assistance d'un avocat est exigée (art. 37 al. 4 LPGA ) et pas seulement justifiée par les circonstances (art. 61 let. f LPGA; arrêt du TF du 24.01.2006 [I 812/05] cons.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 ATF 130 I 180 cons.2.2 et les références). Selon la jurisprudence, un litige sur le droit éventuel à une rente d'invalidité n'est pas susceptible d'affecter d'une manière particulièrement grave la situation juridique de l'intéressé; en revanche, il a une portée considérable pour l'assuré (arrêt du TF du 19.04.2005 [I 83/05] cons. 3.2.2; du 12.10.2004 [I 386/04] cons. 4.2; du 07.09.2004 [I 75/04] cons. 3.3). b) Au bénéfice de l'aide sociale depuis le 1er août 2014 (attestation du 23 juillet 2014 du service social régional), X. remplit la condition de l'indigence. De plus, les conclusions avancées dans le cadre de la procédure d'audition n'étaient pas dépourvues de toute chance de succès. L'OAI ne conteste pas ces points. Il convient encore d'examiner si l'assistance d'un avocat dans la procédure d'audition était nécessaire. En l'espèce, il ressort du dossier que le recourant dispose d'un faible niveau de formation et présente des difficultés au niveau de la compréhension de la langue française notamment à la lecture. Il apparaît dès lors qu'il n'était pas en mesure de s'orienter seul dans la procédure d'audition, laquelle représentait un enjeu important pour sa situation juridique. Une assistance était donc justifiée. Il importe toutefois de savoir si l'on se trouvait dans un cas où des questions de droit ou de fait difficiles rendaient l'assistance par un avocat apparemment nécessaire et qu'une assistance par le représentant d'une association, par un assistant social ou d'autres professionnels ou personnes de confiance d'institutions sociales n'entrait pas en considération (ATF 132 V 200 cons. 4.1). La fixation du revenu d'invalide ainsi que l a mesure dans laquelle les salaires ressortant des statistiques doivent être réduits dépendent de certaines conditions posées par la jurisprudence qu'une personne n'ayant pas de connaissances juridiques peine à saisir. Les questions de droit soulevées rendaient ainsi la cause complexe pour un profane, de sorte que la Cour de céans ne saurait se rallier au point de vue de l'OAI, selon lequel l'intervention d'un avocat dans la procédure d'audition n'était pas nécessaire. Le recours est dès lors également bien fondé sur ce point.</w:t>
      </w:r>
    </w:p>
    <w:p>
      <w:r>
        <w:rPr>
          <w:b/>
        </w:rPr>
        <w:t>E. 7</w:t>
      </w:r>
    </w:p>
    <w:p>
      <w:r>
        <w:t>Au vu de ce qui précède, le recours doit être admis et la décision du 6 octobre 2014 en matière de refus de rente annulée , la cause renvoyée à l'OAI pour qu'il complète l'instruction du cas avant de statuer à nouveau (ATF 137 V 210 cons. 4.4.1.4). Il lui incombera de réunir des renseignements médicaux fiables sur les faits déterminants, au besoin par une expertise interdisciplinaire, tenant à la fois compte des aspects neurologiques, allergologiques et cardiologiques afin d'apprécier les conséquences de l'état de santé du recourant dans son ensemble. Pour le surplus, la décision du 10 octobre 2014 en matière de refus d'assistance judiciaire doit également être réformée, en ce sens que l'assistance gratuite d'un conseil juridique doit être octroyée au recourant pour la procédure d'audition et Me J. désigné en qualité d'avocat d'office. Le dossier est renvoyé à l'OAI pour qu'il statue sur l'indemnité à accorder de ce chef. Vu le sort de la cause, les frais de la présente procédure doivent être mis à la charge de l'OAI (art. 69 al. 1bis LAI). Le recourant, qui obtient gain de cause, et plaide avec l'assistance d'un avocat, a droit à des dépens dans la mesure fixée par le tribunal; leur montant est déterminé sans égard à la valeur litigieuse d'après l'importance et la complexité du litige (art. 61 let. g LPGA; Bovay , Procédure administrative, 2000, p. 464; Schaer , Juridiction administrative neuchâteloise, ad art. 48 LPJA, p. 190). Dans ces conditions, la demande d'assistance judiciaire est sans objet. Me J. n'ayant pas déposé un état des honoraires et des frais (art. 66 al. 1 du décret du Grand Conseil du 06.11.2012 fixant les tarifs des frais, des émoluments de chancellerie et des dépens en matière civile, pénale et administrative, ci-après : TFrais ), la Cour de céans fixera les dépens sur la base du dossier (art. 66 al. 2 TFrais). L'activité déployée par l e mandataire ne peut avoir excédé quelque 6 heures, au regard du litige . Eu égard au tarif usuellement appliqué par la Cour de céans, de l'ordre de 250 francs de l'heure, des débours à raison de 10 % des honoraires (art. 65 TFrais) et la TVA de 8 %, l'indemnité de dépens sera fixée au montant de 1'782 francs tout compris.</w:t>
      </w:r>
    </w:p>
    <w:p>
      <w:r>
        <w:rPr>
          <w:b/>
        </w:rPr>
        <w:t>E. 44</w:t>
      </w:r>
    </w:p>
    <w:p>
      <w:r>
        <w:t>1Nouvelle teneur selon le ch. I de l'O du 15 juin 1992, en vigueur depuis le 1erjuil. 1992 (RO19921251).2Phrase abrogée par le ch. I de l'O du 11 sept. 2002, avec effet au 1erjanv. 2003 (RO20023721).3Nouvelle teneur selon le ch. I de l'O du 28 sept. 2007, en vigueur depuis le 1erjanv. 2008 (RO20075155).4Abrogé par le ch. I du R du 16 nov. 2011, avec effet au 1erjanv. 2012 (RO20115679).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