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CDP.2014.277 vom 20. Oktober 2015</w:t>
      </w:r>
    </w:p>
    <w:p>
      <w:r>
        <w:t>NE Tribunal cantonal, 2015-10-20, FR</w:t>
      </w:r>
    </w:p>
    <w:p>
      <w:r>
        <w:rPr>
          <w:b/>
        </w:rPr>
        <w:t xml:space="preserve">Quelle: </w:t>
      </w:r>
      <w:r>
        <w:t>https://mcp.opencaselaw.ch/entscheid/ne_gerichte_CDP.2014.277</w:t>
      </w:r>
    </w:p>
    <w:p>
      <w:r>
        <w:t>FR: NE_GERICHTE CDP.2014.277 du 20 octobre 2015</w:t>
      </w:r>
    </w:p>
    <w:p>
      <w:r>
        <w:t>IT: NE_GERICHTE CDP.2014.277 del 20 ottobre 2015</w:t>
      </w:r>
    </w:p>
    <w:p>
      <w:pPr>
        <w:pStyle w:val="Heading2"/>
      </w:pPr>
      <w:r>
        <w:t>Erwägungen</w:t>
      </w:r>
    </w:p>
    <w:p>
      <w:r>
        <w:rPr>
          <w:b/>
        </w:rPr>
        <w:t>E. 1</w:t>
      </w:r>
    </w:p>
    <w:p>
      <w:r>
        <w:t>Interjeté dans les formes et délai légaux, le recours est recevable.</w:t>
      </w:r>
    </w:p>
    <w:p>
      <w:r>
        <w:rPr>
          <w:b/>
        </w:rPr>
        <w:t>E. 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 3.2 et les références). C 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 3c/aa; 121 II 214 cons. 3a; arrêts du TF du 27.02.2014 [1C_708/2013 ] cons. 3.1).</w:t>
      </w:r>
    </w:p>
    <w:p>
      <w:r>
        <w:rPr>
          <w:b/>
        </w:rPr>
        <w:t>E. 3</w:t>
      </w:r>
    </w:p>
    <w:p>
      <w:r>
        <w:t>En l'espèce, les faits qui fondent le retrait litigieux résultent d'un rapport de police simplifié du 24 septembre 2013 établi et signé par le sergent-chef A. et l'appointé B. et sont résumés ainsi : " L'intéressé circulait sur l'AR H20 chaussée La Chaux-de-Fonds au volant du véhicule cité sous rubrique. Sur le viaduc de Valangin, suite à une panne d'essence, sa voiture s'est immobilisée sur la voie de droite, créant de ce fait une entrave à la circulation". Ce rapport indique encore que le prévenu "admet les faits" et précise sous le titre "Remarque" : " Jauge à carburant sur le minimum et témoin lumineux allumé. L'intéressé a été remorqué jusqu'à la prochaine station-service afin de faire le plein puis a continué sa course." Dans la mesure où le recourant n'a pas signé ce document, il est peu probable qu'il ait eu connaissance de cette remarque avant que le SCAN en fasse mention dans sa décision de retrait du 28 octobre 2013 ("Qu'il ressort du rapport de police que la jauge à carburant était sur le minimum et le témoin lumineux allumé"). Or, dans sa détermination du 7 octobre 2013 sur la mesure envisagée par l'autorité administrative, il avait déjà exprimé sa grande surprise d'être tombé en panne d'essence alors que "la jauge à essence venait d'indiquer le début de la réserve" et ajouté que, ultérieurement, à l'occasion d'un service sur son véhicule, la jauge à essence s'était révélée défectueuse, qu'il s'agissait donc d'une défaillance technique et non d'une attitude irresponsable de sa part. Au vu de ces nouveaux éléments, l'intéressé avait annoncé avoir demandé à la police l'annulation et le remboursement de l'amende à laquelle cette infraction avait donné lieu, ce qu'il a obtenu le 20 novembre 2013. Porté à la connaissance du département, ce fait nouveau a été jugé non pertinent par celui-ci au motif que la renonciation non motivée au prélèvement d'une éventuelle amende d'ordre ne le liait pas, d'autant que le contenu du rapport de police n'avait nullement été remis en cause. La Cour de céans ne partage pas ce point de vue. D'une part, le recourant a toujours affirmé que, au moment de la panne, "la jauge à essence venait d'indiquer le début de la réserve" (observations au SCAN du 07.10.2013; demande de reconsidération de l'amende du 09.10.2013) et il a maintenu cette version des faits après réception de la décision du SCAN, en contestant implicitement l'exactitude du rapport de police sur ce point (courriel du 30.10.2013 :"la jauge du carburant n'était pas au minimum, mais juste au début de la réserve"). D'autre part, le sergent-chef A. est non seulement le co-auteur du rapport de police ayant donné lieu à l'amende, mais également l'auteur de l'annulation de cette sanction, de sorte qu'on peut difficilement soutenir que le contenu de ce rapport n'a pas été remis en cause, et qui plus est par celui-là même qui l'a établi. L'acquittement a posteriori du recourant jette donc un doute sérieux sur la force probante de ce document, en particulier relativement à la remarque : "jauge à carburant sur le minimum". Car, si cette mention avait reflété fidèlement les constatations des agents de police, les explications du garagiste du recourant – selon lesquelles la défectuosité observée avait pour conséquence que la jauge à essence indiquait un niveau d'essence supérieur à la réalité – n'auraient, bien au contraire, pas dû convaincre le sergent-chef A. d'annuler la sanction. La seule explication plausible à ce revirement est que le rapport de police ne rendait vraisemblablement pas compte avec exactitude de l'emplacement de la jauge à essence au moment de la panne. En tous les cas, dans la mesure où ni le SCAN, ni le département n'ont fondé leur décision sur d'autres constatations de fait que celles ressortant de ce rapport de police sujet à caution et où les autres circonstances leur permettant de s'écarter de la décision de l'autorité pénale (cf. cons. 2 supra) ne sont pas réalisées, ils étaient bel et bien liés par l'acquittement, même informel, prononcé par l'autorité pénale.</w:t>
      </w:r>
    </w:p>
    <w:p>
      <w:r>
        <w:rPr>
          <w:b/>
        </w:rPr>
        <w:t>E. 4</w:t>
      </w:r>
    </w:p>
    <w:p>
      <w:r>
        <w:t>Il suit de ce qui précède que le recours est bien fondé et que la décision du département, ainsi que celle du SCAN doivent être annulées. Vu l'issue de la cause, il est statué sans frais (art. 47 al. 2 LPJA ) et le recourant obtient une allocation de dépens (art. 48 al. 1 LPJA). Me C. n'ayant pas déposé un état de ses honoraires et frais, les dépens seront fixés sur la base du dossier (art. 66 al. 2 TFrais ). Tout bien considéré, l'activité déployée par ce mandataire devant la Cour de céans peut être évaluée à quelque 6 heures. Eu égard au tarif usuellement appliqué par la Cour de céans de l'ordre de 250 francs l'heure, des débours à raison de 10 % des honoraires (art. 65 TFrais) et de la TVA au taux de 8 %, l'indemnité de dépens doit être fixée à 1'782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