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CDP.2014.226 vom 26. Januar 2015</w:t>
      </w:r>
    </w:p>
    <w:p>
      <w:r>
        <w:t>NE Tribunal cantonal, 2015-01-26, FR</w:t>
      </w:r>
    </w:p>
    <w:p>
      <w:r>
        <w:rPr>
          <w:b/>
        </w:rPr>
        <w:t xml:space="preserve">Quelle: </w:t>
      </w:r>
      <w:r>
        <w:t>https://mcp.opencaselaw.ch/entscheid/ne_gerichte_CDP.2014.226</w:t>
      </w:r>
    </w:p>
    <w:p>
      <w:r>
        <w:t>FR: NE_GERICHTE CDP.2014.226 du 26 janvier 2015</w:t>
      </w:r>
    </w:p>
    <w:p>
      <w:r>
        <w:t>IT: NE_GERICHTE CDP.2014.226 del 26 gennaio 2015</w:t>
      </w:r>
    </w:p>
    <w:p>
      <w:pPr>
        <w:pStyle w:val="Heading2"/>
      </w:pPr>
      <w:r>
        <w:t>Erwägungen</w:t>
      </w:r>
    </w:p>
    <w:p>
      <w:r>
        <w:rPr>
          <w:b/>
        </w:rPr>
        <w:t>E. 1</w:t>
      </w:r>
    </w:p>
    <w:p>
      <w:r>
        <w:t>Interjeté dans les formes et délai légaux, le recours est recevable.</w:t>
      </w:r>
    </w:p>
    <w:p>
      <w:r>
        <w:rPr>
          <w:b/>
        </w:rPr>
        <w:t>E. 2</w:t>
      </w:r>
    </w:p>
    <w:p>
      <w:r>
        <w:t>LPGAle lui permet. Il s'ensuit que l'intimée n'avait pas à donner suite à la demande en constatation du recourant.</w:t>
      </w:r>
    </w:p>
    <w:p>
      <w:r>
        <w:t>Les considérations qui précèdent amènent la Cour de céans à annuler la décision du 8 juillet 2014 rejetant l'opposition à la décision du 19 mars 2014.</w:t>
      </w:r>
    </w:p>
    <w:p>
      <w:r>
        <w:t>5.Considérant le sort du litige, il convient de statuer sans frais. Les motifs ‑ de nature formelle  de l'annulation de la décision attaquée ne permettent pas de retenir que le recourant aurait eu gain de cause sur le fond, raison pour laquelle il n'a pas droit à des dépens (art. 61 let. g LPGA).</w:t>
      </w:r>
    </w:p>
    <w:p>
      <w:r>
        <w:t>Par ces motifs,la Cour de droit public</w:t>
      </w:r>
    </w:p>
    <w:p>
      <w:r>
        <w:t>1.Annule la décision de la CCNC du 8 juillet 2014.</w:t>
      </w:r>
    </w:p>
    <w:p>
      <w:r>
        <w:t>2.Statue sans frais et n'alloue pas de dépens.</w:t>
      </w:r>
    </w:p>
    <w:p>
      <w:r>
        <w:t>Neuchâtel, le 26 janvier 2015</w:t>
      </w:r>
    </w:p>
    <w:p>
      <w:r>
        <w:t>1L'assureur doit rendre par écrit les décisions qui portent sur des prestations, créances ou injonctions importantes ou avec lesquelles l'intéressé n'est pas d'accord.</w:t>
      </w:r>
    </w:p>
    <w:p>
      <w:r>
        <w:t>2Si le requérant rend vraisemblable un intérêt digne d'être protégé, l'assureur rend une décision en constatation.</w:t>
      </w:r>
    </w:p>
    <w:p>
      <w:r>
        <w:t>3Les décisions indiquent les voies de droit. Elles doivent être motivées si elles ne font pas entièrement droit aux demandes des parties. La notification irrégulière d'une décision ne doit entraîner aucun préjudice pour l'intéressé.</w:t>
      </w:r>
    </w:p>
    <w:p>
      <w:r>
        <w:t>4L'assureur qui rend une décision touchant l'obligation d'un autre assureur d'allouer des prestations est tenu de lui en communiquer un exemplaire. Cet autre assureur dispose des mêmes voies de droit que l'assuré.</w:t>
      </w:r>
    </w:p>
    <w:p>
      <w:r>
        <w:t>1Les prestations, créances et injonctions qui ne sont pas visées à l'art. 49, al. 1, peuvent être traitées selon une procédure simplifiée.</w:t>
      </w:r>
    </w:p>
    <w:p>
      <w:r>
        <w:t>2L'intéressé peut exiger qu'une décision soit rendue</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r>
        <w:rPr>
          <w:b/>
        </w:rPr>
        <w:t>E. 3</w:t>
      </w:r>
    </w:p>
    <w:p>
      <w:r>
        <w:t>a) L'autorité n'est pas libre de modifier ou d'annuler à son gré des décisions entrées en force. Elle ne peut y procéder que si les conditions de la révision (procédurale) ou de la reconsidération sont réalisées. Les décisions et les décisions sur opposition formellement passées en force sont soumises à révision (procédurale) si l'assuré ou l'assureur découvre subséquemment des faits nouveaux importants ou trouve des nouveaux moyens de preuve qui ne pouvaient être produits auparavant (art. 53 al. 1 LPGA ). L'assureur peut revenir sur les décisions ou les décisions sur opposition formellement passées en force lorsqu'elles sont manifestement erronées et que leur rectification revêt une importance notable (art. 53 al. 2 LPGA ). La jurisprudence a eu l'occasion de préciser qu'un changement de statut de cotisant, impliquant la remise en cause de décisions de cotisations antérieures passées en force, est soumis aux conditions qui président à la révocation des décisions, que ce soit par la voie de la révision (procédurale) ou de la reconsidération; par contre, si le changement de statut n'est pas de nature à produire ses effets dans le passé mais au contraire uniquement dans le futur, il convient – en principe – d'examiner librement la question du statut de cotisant, tout en observant une certaine retenue dans les cas limites (ATF 121 V 1 cons. 6). b) L'engagement par l'ECAP d'experts externes n'est pas nouveau et cette situation est connue de la CCNC de longue date. Depuis 1991 au moins, les experts externes de l'ECAP sont considérés comme exerçant une activité dépendante. Dans sa demande du 13 novembre 2013, l'ECAP a invoqué l'évolution de la situation et a souhaité clarifier le statut de ses experts en signant avec eux un contrat de mandat "en remplacement des accords actuels". Dans son opposition du 22 avril 2014, il a fait part de sa volonté de clarifier le statut des experts externes et "d'accéder à leur volonté d'obtenir celui d'indépendant", expliquant notamment "qu'il se justifie aujourd'hui de modifier" leur statut. Ces formulations, de même que le contexte global dans lequel intervient la démarche de l'ECAP, soulignent que ce dernier entend obtenir un changement de statut pour le futur sans vouloir remettre en cause les décisions antérieures entrées en force et qui régissent actuellement ce statut. C'est donc sans être lié par les exigences de la révision (procédurale) ou de la reconsidération mais en principe de manière libre que peut être examiné pour le futur le statut des experts externes.</w:t>
      </w:r>
    </w:p>
    <w:p>
      <w:r>
        <w:rPr>
          <w:b/>
        </w:rPr>
        <w:t>E. 4</w:t>
      </w:r>
    </w:p>
    <w:p>
      <w:r>
        <w:t>a) La décision sur opposition du 8 juillet 2014 – comme du reste la décision du 19 mars 2014 – est une décision qui constate que le statut des experts externes doit continuer d'être qualifié de salarié en ce qui concerne les tâches qu'ils sont tenus d'exécuter pour l'ECAP. Il s'agit d'une décision en constatation. Selon l'article 49 al. 2 LPGA , si le requérant rend vraisemblable un intérêt digne d'être protégé, l'assureur rend une décision en constatation. La jurisprudence développée à propos de la notion d'intérêt digne de protection dans le cadre de la procédure de constatation au sens de l'article 25 al. 2 PA vaut aussi dans le cadre de l'article 49 al. 2 LPGA ( Valterio , Droit de l'assurance-vieillesse et survivants (AVS) et de l'assurance-invalidité (AI), commentaire thématique, 2011, n°2972). Selon celle-ci, un tel intérêt n'existe que lorsque le requérant a un intérêt actuel, de droit ou de fait, à la constatation immédiate d'un droit, sans que s'y opposent de notables intérêts publics ou privés et à la condition que cet intérêt ne puisse pas être préservé au moyen d'une décision formatrice, c'est-à-dire constitutive de droit et d'obligations (ATF 132 V 257 cons. 1; arrêt du TF du 21.09.2012 [9C_477/2012 ] cons. 2.1). La jurisprudence considère que le statut des assurés en matière de cotisations AVS peut, à lui seul, donner lieu à une décision de constatation lorsqu'un intérêt majeur exige l'examen préalable de cette question. Il en va ainsi dans certains cas complexes, dans lesquels l'on ne peut raisonnablement pas exiger que des décomptes de cotisations paritaires compliqués soient effectués avant que l'existence d'une activité lucrative dépendante et l'obligation de cotiser de l'employeur visé aient été établies. Une telle situation peut se présenter notamment lorsque de nombreux assurés sont touchés par la décision notifiée à leur employeur commun, relative à leur situation de personnes salariées (ATF 129 V 289 cons. 2.2), ou si la question à résoudre en relation avec le statut de cotisant s'avère nouvelle en vertu des circonstances particulières du cas (ATF 132 V 257 cons. 2.1; arrêt du TF du 21.09.2012 [9C_477/2012] cons. 2.1). b) En l'espèce, la situation des experts externes n'est pas complexe au point de justifier une décision en constatation. Il s'agit d'un cas de figure connu (cf. RCC 1950 419) et le statut des personnes concernées fait déjà l'objet d'une décision. Le changement que l'ECAP souhaite obtenir peut sans difficultés être examiné à l'occasion d'une décision portant sur les cotisations paritaires. Il est vrai que la perception des cotisations AVS et AI s'opère généralement selon la procédure simplifiée de l'article 51 al. 1 LPGA (cf. art. 14 al. 3 LAVS et le renvoi de l'art. 3 al. 2 LAI à l'art. 14 LAVS). Il est toutefois aussi vrai qu'un intéressé peut exiger qu'une décision au sens de l'article 49 LPGA soit rendue, décision qui doit alors en particulier intervenir par écrit et être motivée. En outre, la question ne concerne qu'une vingtaine de personnes (cf. la liste sur le site internet de l'ECAP : http://www.ecap-ne.ch/fr/Portrait/Structure/Experts-externes.html ). Dans le cas particulier, il n'existe dès lors pas un intérêt digne de protection à une décision en constatation concernant le changement de statut des experts externes de l'ECAP. Cet établissement aurait pu et dû chercher à obtenir une décision formatrice concernant lesdits experts, en exigeant de la CCNC une décision formelle, ainsi que l'article 51 al. 2 LPGA le lui permet. Il s'ensuit que l'intimée n'avait pas à donner suite à la demande en constatation du recourant. Les considérations qui précèdent amènent la Cour de céans à annuler la décision du 8 juillet 2014 rejetant l'opposition à la décision du 19 mars 2014.</w:t>
      </w:r>
    </w:p>
    <w:p>
      <w:r>
        <w:rPr>
          <w:b/>
        </w:rPr>
        <w:t>E. 5</w:t>
      </w:r>
    </w:p>
    <w:p>
      <w:r>
        <w:t>Considérant le sort du litige, il convient de statuer sans frais. Les motifs ‑ de nature formelle – de l'annulation de la décision attaquée ne permettent pas de retenir que le recourant aurait eu gain de cause sur le fond, raison pour laquelle il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