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CDP.2014.152 vom 19. September 2013</w:t>
      </w:r>
    </w:p>
    <w:p>
      <w:r>
        <w:t>NE Tribunal cantonal, 2013-09-19, FR</w:t>
      </w:r>
    </w:p>
    <w:p>
      <w:r>
        <w:rPr>
          <w:b/>
        </w:rPr>
        <w:t xml:space="preserve">Quelle: </w:t>
      </w:r>
      <w:r>
        <w:t>https://mcp.opencaselaw.ch/entscheid/ne_gerichte_CDP.2014.152_d20130919</w:t>
      </w:r>
    </w:p>
    <w:p>
      <w:r>
        <w:t>FR: NE_GERICHTE CDP.2014.152 du 19 septembre 2013</w:t>
      </w:r>
    </w:p>
    <w:p>
      <w:r>
        <w:t>IT: NE_GERICHTE CDP.2014.152 del 19 settembre 2013</w:t>
      </w:r>
    </w:p>
    <w:p>
      <w:pPr>
        <w:pStyle w:val="Heading2"/>
      </w:pPr>
      <w:r>
        <w:t>Regeste</w:t>
      </w:r>
    </w:p>
    <w:p>
      <w:r>
        <w:t>Autorisation de construire trois maisons familiales et trois garages (voie d'accès, conformité de la zone, clause d'esthétique).</w:t>
      </w:r>
    </w:p>
    <w:p>
      <w:pPr>
        <w:pStyle w:val="Heading2"/>
      </w:pPr>
      <w:r>
        <w:t>Erwägungen</w:t>
      </w:r>
    </w:p>
    <w:p>
      <w:r>
        <w:rPr>
          <w:b/>
        </w:rPr>
        <w:t>E. 1</w:t>
      </w:r>
    </w:p>
    <w:p>
      <w:r>
        <w:t>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w:t>
      </w:r>
    </w:p>
    <w:p>
      <w:r>
        <w:t>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satisfaisant(Zen-Ruffinen/Guy-Ecabert,Aménagement du territoire, construction, expropriation,p. 388;Chassot,Clause d'esthétique en droit des constructions, in RFJ 1993,p. 106). Ainsi, par le biais de la clause d'esthétique, il est possible de refuser un permis de construire à un projet, dont l'implantation porte atteinte à l'environnement bâti ou au paysage.Comme toute restriction de propriété, une clause d'esthétique doit reposer sur une base légale, être justifiée par un intérêt public et respecter le principe de la proportionnalité (ATF115 Ia 373, cons. 3a et 4; RJN2006 p. 240 cons. 2a;Zen-Ruffinen/Guy-Ecabert, op. cit., p. 389 ss, n° 893s;Chassot,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publiédu 07.12.1999 [1P.402/1999]cons. 4a; ATF120 Ia 270, cons. 4a;118 Ia 384cons. 5).</w:t>
      </w:r>
    </w:p>
    <w:p>
      <w:r>
        <w:t>Les autorités locales disposent d'un large pouvoir d'appréciation dès lors qu'il s'agit d'examiner l'application de clauses d'esthétique (arrêts du TF du12.02.2009 [1C_423/2008]cons. 4.2.1 et du15.04.2008 [1C_18/2008] cons. 5.2; ATF129 I 337cons.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ATF115 Ia 363cons. 3b; RDAF 1999 I 328 cons. 2c;RJN 2006, p. 240cons.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2b;RJN 2006, p. 240con.2a; 1989, p. 239 cons. 2a;Chassot,op. cit., p. 104-105).En tous les cas, l'autorité compétente doit indiquer les raisons pour lesquelles elle considère qu'une construction ou une installation serait de nature à enlaidir le site (arrêt duTF du20.10.2005 [1P.342/2005]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(Zen-Ruffinen/Guy-Ecabert, op. cit., p. 388 ss).Une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du12.02.2009 [1C_423/2008] cons. 2.4.1 et du20.10.2005 [1P.342/2005]cons. 5.5; ATF115 Ia 363cons. 3a;115 Ia 118cons. 3d; v. aussi arrêts du TF du06.03.2007 [1P.402/2006] cons. 4.5 et du16.01.2007 [1P.437/2006] cons. 4.2).</w:t>
      </w:r>
    </w:p>
    <w:p>
      <w:r>
        <w:t>c) Dans le cas particulier, le projet litigieux consiste en trois villas individuelles distantes l'une de l'autre de 8,45 mètres à 9,30 mètres. Le quartier d'habitation n'appartient pas à une catégorie de périmètre nécessitant une protection spéciale et ne présente aucune particularité. Néanmoins, l'application de la clause d'esthétique n'est pas réservée à des sites protégées ou à des biens culturels reconnus. Il faut et il suffit que l'installation projetée apparaisse déraisonnable compte tenu de son environnement.</w:t>
      </w:r>
    </w:p>
    <w:p>
      <w:r>
        <w:t>Les recourants ne remettent pas en cause la conformité du projet de construction à la zone en question. Ils sont par contre d'avis que le projet ne s'harmonise pas à la zone, respectivement qu'il n'est pas cohérent par rapport aux bâtiments avoisinants.En l'occurrence, il convient de retenir, avec le Conseil d'Etat, que les villas projetées sur les biens-fonds [bbb] à [ddd] ne créent pas un corps étranger rompant de manière choquante l'harmonie du quartier classé en zone d'habitation à faible densité. Les critiques des recourants selon lesquelles les villas projetées ne s'intégreraient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tel que semblent le prétendre les recourants.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d'Etat. A cela s'ajoute le fait que les constructions projetées respectent en tous points le règlement d'aménagement de la commune.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t>5.Il résulte de ce qui précède que, mal fondé, le recours doit être rejeté, et la décision attaquée, ainsi que celle de la Commune de Z. doivent être confirmées. Vu l'issue de la procédure, les frais seront mis à charge des recourants qui succombent (art. 47 al. 1LPJA) et il ne leur sera pas alloué de dépens (art. 48 al. 1 a contrario LPJA).</w:t>
      </w:r>
    </w:p>
    <w:p>
      <w:r>
        <w:t>Une indemnité de dépens sera en revanche allouée aux tiers intéressés qui procèdent avec l'aide d'un mandataire professionnel (art. 48 LPJA). Me G. 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750 francs, frais et TVA compris.</w:t>
      </w:r>
    </w:p>
    <w:p>
      <w:r>
        <w:t>Par ces motifs,la Cour de droit public</w:t>
      </w:r>
    </w:p>
    <w:p>
      <w:r>
        <w:t>1.Rejette le recours.</w:t>
      </w:r>
    </w:p>
    <w:p>
      <w:r>
        <w:t>2.Met à la charge des recourants un émolument de décision de 700 francs, et les débours par 70 francs, montants compensés par leur avance de frais.</w:t>
      </w:r>
    </w:p>
    <w:p>
      <w:r>
        <w:t>3.N'alloue pas de dépens aux recourants.</w:t>
      </w:r>
    </w:p>
    <w:p>
      <w:r>
        <w:t>4.Alloue une indemnité de dépens de 750 francs à la Société D. SA, B. et C. à charge des recourants.</w:t>
      </w:r>
    </w:p>
    <w:p>
      <w:r>
        <w:t>Neuchâtel, le 9 mars 2015</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fonciers.1</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cantonal.2</w:t>
      </w:r>
    </w:p>
    <w:p>
      <w:r>
        <w:t>1Nouvelle teneur selon le ch. I de la LF du 15 juin 2012, en vigueur depuis le 1ermai 2014 (RO2014899;FF2010959).2Nouvelle teneur selon le ch. I de la LF du</w:t>
      </w:r>
    </w:p>
    <w:p>
      <w:r>
        <w:rPr>
          <w:b/>
        </w:rPr>
        <w:t>E. 2</w:t>
      </w:r>
    </w:p>
    <w:p>
      <w:r>
        <w:t>Au cas particulier, les recourants font valoir que la desserte des propriétés projetées n’est pas adaptée et qu’elle est de nature à entraîner des risques sécuritaires inacceptables pour eux-mêmes, leurs enfants et leurs hôtes. C ette problématique ressortit au domaine de l'équipement , au sens des articles 19 et 22 LAT . Un recourant n'est pas libre d'invoquer n'importe quel grief; il ne peut en effet se prévaloir d'un intérêt digne de protection à invoquer des dispositions édictées dans l'intérêt général.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 cons. 1.5). Le bénéfice pratique concret des recourants réside donc ici dans le fait que les constructions ne seraient pas réalisées, du moins pas selon les plans prévus, si leur grief était bien fondé. E n mettant en cause l'équipement des biens-fonds situés sur une parcelle voisine de leur terrain, les recourants ont donc bien un intérêt digne d’être protégé, leur conférant la qualité pour agir au sens de l'article 32 let. a LPJA , contrairement à ce qu'a retenu le Conseil d'Etat dans la décision attaquée. Toutefois, les recourants ne sauraient en tirer aucun avantage dans la mesure où tant la Commune de Z. que le Conseil d'Etat sont entrés en matière au fond sur ce grief. Il s'agit dès lors d'examiner si la desserte d'accès aux bâtiments projetés est conforme à la législation fédérale et cantonale.</w:t>
      </w:r>
    </w:p>
    <w:p>
      <w:r>
        <w:rPr>
          <w:b/>
        </w:rPr>
        <w:t>E. 3</w:t>
      </w:r>
    </w:p>
    <w:p>
      <w:r>
        <w:t>a) Une autorisation de construire n'est délivrée que si la construction ou l'installation est conforme à l'affectation de la zone et si le terrain est équipé (art. 22 al. 2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L'article 19 al. 1 LAT a pour but d'imposer aux collectivités publiques d'aménager un équipement suffisant pour qu'un terrain puisse être construit. Il expose en quoi cet équipement doit consister pour être reconnu suffisant; en particulier, il doit être possible de se raccorder à l'équipement "sans frais disproportionnés" ("ohne erheblichen Aufwand", "senza dispendio rilevante"). Cette condition se rattache à l'idée que l'opération de raccordement doit être légère faute de quoi l'équipement sera considéré comme insuffisant et, cas échéant, une autorisation de construire sera refusée en vertu de l'article 22 al. 2 let. b LAT ou délivrée à titre exceptionnel si cela se justifie (cf. par exemple arrêts du TF du 27.11.2012 [1C_87/2012 ], du 18.11.2010 [1C_165/2010 ], résumé in RDAF 2012 I p. 474). L’article 19 al. 1 LAT est directement applicable et les cantons ne peuvent pas définir différemment la notion d'équipement. Ils ne peuvent donc pas prévoir d'autres exigences pour que la condition de l'article 22 al. 2 LAT soit remplie. Règle de principe, l'article 19 al. 1 contient des notions juridiques indéterminées, qu'il appartient au droit cantonal et à la jurisprudence d'interpréter et de concrétiser. La LAT n'indique pas, notamment, à quelles conditions les voies d'accès et les conduites sont adaptées ou suffisantes (ATF 123 II 350 cons. 5b; Jomini , Commentaire LAT, 1999; art. 19 no 10). L'équipement est une notion de droit fédéral qui a la même portée tant à l'article 19 LAT qu'à l'article 24 LPE et à l'article 4 de la loi fédérale du 4 octobre 1974 encourageant la construction et l'accession à la propriété de logement (ATF 117 Ib 308 cons. 4a). La loi n'impose pas de voies d'accès idéales;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 65; Jomini , op. cit., nos 19, 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(arrêt du TF du 14.04.2011 [1C_482/2010 ] cons. 6.1 et les références citées). b)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 T, il définit la largeur des chaussées, en réservant au surplus l'application des normes des professionnels suisses de la route (USPR, VSS). Les autorités communales et cantonales disposent d'un important pouvoir d'appréciation en la matière, que les autorités judiciaires doivent respecter (ATF 121 I 65 cons. 3a in fine p. 68). Les normes VSS doivent en outre être appliquées en fonction des circonstances concrètes et en accord avec les principes généraux du droit, dont celui de la proportionnalité (arrêt du 10.07.2008 [1P_157/2008] cons. 2.1). L'article 9 LConstr rappelle enfin que compte tenu de l'importance des constructions et installations, les accès à la voie publique doivent garantir la sécurité des piétons et celle de la circulation routière, ainsi que l'intervention des services publics. Enfin, l'article 41 du règlement de construction de la Commune de Z. prévoit notamment que "toute construction et exploitation génératrice de trafic, doit avoir des accès à la voie publique suffisants, faciles et sûrs" et que "le nombre et la dimension des accès doivent être déterminés en fonction du volume de trafic prévisible et répondre aux règles de l'art". Dans la pratique,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manœuvres de la part des véhicules lourds des services publics qui s'y engageaient (RJN 1990, p. 185); qu'un chemin d'une longueur de 190 mètres, d'une largeur de 2,80 mètres au maximum, escarpé et en devers dans un coteau très raide n'était pas suffisant pour absorber un surcroît de trafic de 14 places de stationnement (RDAF 1992, p. 211); qu'une route collectrice d'une largeur de 4-5 mètres dépourvue de trottoir, sur laquelle 1'100 véhicules passent quotidiennement, n'était pas en mesure d'absorber de façon satisfaisante le trafic supplémentaire qu'engendrerait le lotissement projeté de 27 unités d'habitation ( RJN 2001, p. 266 );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non publié du 30.09.2003 [1P.375/2003 ]) confirmant l'arrêt du 12.05.2003 publié à la RVJ 2004, p. 63). c) A la lumière de la jurisprudence précitée, il n'est pas arbitraire de retenir que le chemin projeté d'une largeur de 3,20 mètres et d'une longueur d'environ 50 mètres est suffisant pour absorber le trafic induit par la construction de 3 villas, cela sans mettre en péril la sécurité des piétons et des automobilistes et sans entraver l'accès aux véhicules de secours. A l'instar de la commune, il convient en effet d'observer que les plans déposés indiquent une voie d'accès carrossable à l'est du terrain à bâtir, avec différents points de croisement aisés. D'autre part, le chemin visé ne desservira que trois villas et ne sera emprunté que par les habitants de ces logements ainsi que par leurs éventuels visiteurs. Sur ce point, il sied d'observer que la desserte envisagée constituera une impasse qui ne sera que peu ou pas empruntée par les habitants de la commune dans la mesure où elle ne permettra pas de rejoindre d'autres habitations que celles projetées. On ne saurait dès lors retenir que le chemin litigieux provoquera une charge de trafic supplémentaire susceptible de mettre en péril la sécurité des piétions ou des automobilistes du quartier. Quant aux craintes des recourants s'agissant de la configuration du débouché de la desserte sur la rue E., elles ne sont pas fondées. D'une part, il ressort du dossier, respectivement des plans et de la vue aérienne que la configuration envisagée n'est pas étrangère au quartier. D'autre part, le Service des ponts et chaussées n'a pas émis de critiques sur ce débouché dans son préavis, mentionnant toutefois que la commune pourrait, si nécessaire, exiger la pose d'un miroir afin de pallier un éventuel manque de visibilité. De surcroît, la jurisprudence invoquée par les recourants ne saurait trouver application au cas d'espèce dans la mesure où elle concerne une situation différente. En effet, ce n'est pas le caractère perpendiculaire de la desserte qui a conduit le Tribunal fédéral à considérer l'accès comme insuffisant mais bien plutôt le fait que le chemin envisagé ne permettait pas l'accès aux véhicules de secours, ne disposait d'aucun croisement possible et ne permettait pas d'absorber l'augmentation du volume du trafic. En l'occurrence, aucun élément au dossier ne permet de retenir que la configuration de la desserte ne rendra l'engagement sur la rue E. plus malaisé. En tout état de cause, le respect des règles habituelles de circulation, notamment l'adaptation de la vitesse aux conditions de visibilité et à la configuration de la chaussée, devrait pouvoir garantir une sécurité suffisante aux usagers. Il s'ensuit que même si la fréquentation des rues E.et F. augmentera légèrement, la desserte projetée répond en l'état aux exigences de l'article 19 LAT qui ne commande qu'un accès suffisant et non pas une desserte optimale. Le grief des recourants est dès lors mal fondé.</w:t>
      </w:r>
    </w:p>
    <w:p>
      <w:r>
        <w:rPr>
          <w:b/>
        </w:rPr>
        <w:t>E. 4</w:t>
      </w:r>
    </w:p>
    <w:p>
      <w:r>
        <w:t>Pour le surplus, les recourants invoquent une violation de la clause d'esthétique de l'article 10.05.02 du règlement d'aménagement de la Commune de Z. (ci-après : PRAC). Selon eux, le projet litigieux ne s'intègre pas dans la zone d'habitation à faible densité (ZHFD 1) dans la mesure où il ne respecte pas la cohérence de l'ensemble du milieu bâti tant au niveau de l'implantation, des hauteurs que de l'architecture. 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(ATF non publié du 7.12.1999 [1P.402/1999] cons. 3b; RJN 2006, p. 240 cons. 2a) Aux termes de l’article 43 al. 1 LCAT , les communes élaborent leurs plans d’affectation dans le cadre du plan directeur et en tenant compte des mesures cantonales. Le plan d'aménagement communal règle le mode d'utilisation du sol (art. 45 al. 1 LCAT). Il doit notamment contenir des dispositions relatives à l'affectation des différentes zones (art. 59 al. 1 LCAT). L'article 59 al. 2 let. j LCAT prévoit que le règlement communal d'aménagement peut contenir des dispositions sur la sauvegarde de l'aspect des localités et des sites. Selon l'article 10.05.1 PRAC, la zone d'habitation à faible densité est caractérisée par des bâtiments d'habitations individuels isolés généralement de 1 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 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 ( Zen-Ruffinen/Guy-Ecabert , Aménagement du territoire, construction, expropriation, p. 388; Chassot , Clause d'esthétique en droit des constructions, in RFJ 1993, p. 106) . Ainsi, par le biais de la clause d'esthétique, il est possible de refuser un permis de construire à un projet, dont l'implantation porte atteinte à l'environnement bâti ou au paysage. Comme toute restriction de propriété, une clause d'esthétique doit reposer sur une base légale, être justifiée par un intérêt public et respecter le principe de la proportionnalité (ATF 115 Ia 373 , cons. 3a et 4; RJN 2006 p. 240 cons. 2a ; Zen-Ruffinen/Guy-Ecabert , op. cit., p. 389 ss, n° 893s; Chassot ,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 du 07.12.1999 [1P.402/1999 ] cons. 4a; ATF 120 Ia 270 , cons. 4a; 118 Ia 384 cons. 5). Les autorités locales disposent d'un large pouvoir d'appréciation dès lors qu'il s'agit d'examiner l'application de clauses d'esthétique (arrêts du TF du 12.02.2009 [1C_423/2008] cons. 4.2.1 et du 15.04.2008 [1C_18/2008 ]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 115 Ia 363 cons. 3b; RDAF 1999 I 328 cons. 2c; RJN 2006, p. 240 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 RJN 2006, p. 240 con.2a; 1989, p. 239 cons. 2a; Chassot , op. cit.,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op. cit.,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 12.02.2009 [1C_423/2008 ] cons. 2.4.1 et du 20.10.2005 [1P.342/2005] cons. 5.5; ATF 115 Ia 363 cons. 3a; 115 Ia 118 cons. 3d; v. aussi arrêts du TF du 06.03.2007 [1P.402/2006 ] cons. 4.5 et du 16.01.2007 [1P.437/2006 ] cons. 4.2). c) Dans le cas particulier, le projet litigieux consiste en trois villas individuelles distantes l'une de l'autre de 8,45 mètres à 9,30 mètres. Le quartier d'habitation n'appartient pas à une catégorie de périmètre nécessitant une protection spéciale et ne présente aucune particularité. Néanmoins, l'application de la clause d'esthétique n'est pas réservée à des sites protégées ou à des biens culturels reconnus. Il faut et il suffit que l'installation projetée apparaisse déraisonnable compte tenu de son environnement. Les recourants ne remettent pas en cause la conformité du projet de construction à la zone en question. Ils sont par contre d'avis que le projet ne s'harmonise pas à la zone, respectivement qu'il n'est pas cohérent par rapport aux bâtiments avoisinants. En l'occurrence, il convient de retenir, avec le Conseil d'Etat, que les villas projetées sur les biens-fonds [bbb] à [ddd] ne créent pas un corps étranger rompant de manière choquante l'harmonie du quartier classé en zone d'habitation à faible densité. Les critiques des recourants selon lesquelles les villas projetées ne s'intégreraient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tel que semblent le prétendre les recourants.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d'Etat. A cela s'ajoute le fait que les constructions projetées respectent en tous points le règlement d'aménagement de la commune.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rPr>
          <w:b/>
        </w:rPr>
        <w:t>E. 5</w:t>
      </w:r>
    </w:p>
    <w:p>
      <w:r>
        <w:t>Il résulte de ce qui précède que, mal fondé, le recours doit être rejeté, et la décision attaquée, ainsi que celle de la Commune de Z. doivent être confirmées. Vu l'issue de la procédure, les frais seront mis à charge des recourants qui succombent (art. 47 al. 1 LPJA ) et il ne leur sera pas alloué de dépens (art. 48 al. 1 a contrario LPJA). Une indemnité de dépens sera en revanche allouée aux tiers intéressés qui procèdent avec l'aide d'un mandataire professionnel (art. 48 LPJA). Me G. n'ayant pas déposé un état de ses honoraires et des frais, les dépens seront fixés sur la base du dossier (art. 66 al. 2 du décret fixant le tarif des frais, des émoluments de chancellerie et des dépens en matière civile, pénale et administrative [ TFrais ]). Tout bien considéré, les dépens peuvent être équitablement fixés à 750 francs, frais et TVA compris.</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