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CDP.2013.90 vom 26. Februar 2015</w:t>
      </w:r>
    </w:p>
    <w:p>
      <w:r>
        <w:t>NE Tribunal cantonal, 2015-02-26, FR</w:t>
      </w:r>
    </w:p>
    <w:p>
      <w:r>
        <w:rPr>
          <w:b/>
        </w:rPr>
        <w:t xml:space="preserve">Quelle: </w:t>
      </w:r>
      <w:r>
        <w:t>https://mcp.opencaselaw.ch/entscheid/ne_gerichte_CDP.2013.90</w:t>
      </w:r>
    </w:p>
    <w:p>
      <w:r>
        <w:t>FR: NE_GERICHTE CDP.2013.90 du 26 février 2015</w:t>
      </w:r>
    </w:p>
    <w:p>
      <w:r>
        <w:t>IT: NE_GERICHTE CDP.2013.90 del 26 febbraio 2015</w:t>
      </w:r>
    </w:p>
    <w:p>
      <w:pPr>
        <w:pStyle w:val="Heading2"/>
      </w:pPr>
      <w:r>
        <w:t>Erwägungen</w:t>
      </w:r>
    </w:p>
    <w:p>
      <w:r>
        <w:rPr>
          <w:b/>
        </w:rPr>
        <w:t>E. 1</w:t>
      </w:r>
    </w:p>
    <w:p>
      <w:r>
        <w:t>exercer la haute direction de la société et établir les instructions nécessaires;</w:t>
      </w:r>
    </w:p>
    <w:p>
      <w:r>
        <w:rPr>
          <w:b/>
        </w:rPr>
        <w:t>E. 2</w:t>
      </w:r>
    </w:p>
    <w:p>
      <w:r>
        <w:t>décider de l'organisation de la société dans le cadre de la loi et des statuts;</w:t>
      </w:r>
    </w:p>
    <w:p>
      <w:r>
        <w:rPr>
          <w:b/>
        </w:rPr>
        <w:t>E. 3</w:t>
      </w:r>
    </w:p>
    <w:p>
      <w:r>
        <w:t>fixer les principes de la comptabilité et du contrôle financier ainsi que le plan financier, pour autant que celui-ci soit nécessaire à la gestion de la société;</w:t>
      </w:r>
    </w:p>
    <w:p>
      <w:r>
        <w:rPr>
          <w:b/>
        </w:rPr>
        <w:t>E. 4</w:t>
      </w:r>
    </w:p>
    <w:p>
      <w:r>
        <w:t>exercer la surveillance sur les personnes chargées de parties de la gestion pour s'assurer notamment qu'elles observent la loi, les statuts, les règlements et les instructions données;</w:t>
      </w:r>
    </w:p>
    <w:p>
      <w:r>
        <w:rPr>
          <w:b/>
        </w:rPr>
        <w:t>E. 5</w:t>
      </w:r>
    </w:p>
    <w:p>
      <w:r>
        <w:t>établir le rapport de gestion (comptes annuels, rapport annuel et, le cas échéant, comptes de groupe);</w:t>
      </w:r>
    </w:p>
    <w:p>
      <w:r>
        <w:rPr>
          <w:b/>
        </w:rPr>
        <w:t>E. 6</w:t>
      </w:r>
    </w:p>
    <w:p>
      <w:r>
        <w:t>préparer l'assemblée des associés et exécuter ses décisions;</w:t>
      </w:r>
    </w:p>
    <w:p>
      <w:r>
        <w:rPr>
          <w:b/>
        </w:rPr>
        <w:t>E. 7</w:t>
      </w:r>
    </w:p>
    <w:p>
      <w:r>
        <w:t>informer le juge en cas de surendettement.</w:t>
      </w:r>
    </w:p>
    <w:p>
      <w:r>
        <w:t>3Le président des gérants ou le gérant unique a les attributions suivantes:</w:t>
      </w:r>
    </w:p>
    <w:p>
      <w:r>
        <w:t>1.convoquer et diriger l'assemblée des associés;</w:t>
      </w:r>
    </w:p>
    <w:p>
      <w:r>
        <w:t>3.faire toutes les communications aux associés;</w:t>
      </w:r>
    </w:p>
    <w:p>
      <w:r>
        <w:t>4.s'assurer du dépôt des réquisitions nécessaires à l'office du registre du commerce.</w:t>
      </w:r>
    </w:p>
    <w:p>
      <w:r>
        <w:t>1 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1Les travailleurs dont la durée normale du travail est réduite ou l'activité suspendue ont droit à l'indemnité en cas de réduction de l'horaire de travail (ci-après l'indemnité) lorsque:1</w:t>
      </w:r>
    </w:p>
    <w:p>
      <w:r>
        <w:t>a.2ils sont tenus de cotiser à l'assurance ou qu'ils n'ont pas encore atteint l'âge minimum de l'assujettissement aux cotisations AVS;</w:t>
      </w:r>
    </w:p>
    <w:p>
      <w:r>
        <w:t>b. la perte de travail doit être prise en considération (art. 32);</w:t>
      </w:r>
    </w:p>
    <w:p>
      <w:r>
        <w:t>c. le congé n'a pas été donné;</w:t>
      </w:r>
    </w:p>
    <w:p>
      <w:r>
        <w:t>d. la réduction de l'horaire de travail est vraisemblablement temporaire, et si l'on peut admettre qu'elle permettra de maintenir les emplois en question.</w:t>
      </w:r>
    </w:p>
    <w:p>
      <w:r>
        <w:t>1bis Une analyse de l'entreprise peut être effectuée aux frais du fonds de compensation, dans des cas exceptionnels, pour examiner dans quelle mesure les conditions fixées à l'al. 1, let. d, sont remplies.3</w:t>
      </w:r>
    </w:p>
    <w:p>
      <w:r>
        <w:t>2 Le Conseil fédéral peut édicter des dispositions dérogatoires concernant l'indemnité en cas de réduction de l'horaire de travail:</w:t>
      </w:r>
    </w:p>
    <w:p>
      <w:r>
        <w:t>a. pour les travailleurs à domicile;</w:t>
      </w:r>
    </w:p>
    <w:p>
      <w:r>
        <w:t>b. pour les travailleurs dont l'horaire de travail est variable dans des limites stipulées par contrat.4</w:t>
      </w:r>
    </w:p>
    <w:p>
      <w:r>
        <w:t>3 N'ont pas droit à l'indemnité:</w:t>
      </w:r>
    </w:p>
    <w:p>
      <w:r>
        <w:t>a. les travailleurs dont la réduction de l'horaire de travail ne peut être déterminée ou dont l'horaire de travail n'est pas suffisamment contrôlable;</w:t>
      </w:r>
    </w:p>
    <w:p>
      <w:r>
        <w:t>b. le conjoint de l'employeur, occupé dans l'entreprise de celui-ci;</w:t>
      </w:r>
    </w:p>
    <w:p>
      <w:r>
        <w:t>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 5 oct. 1990, en vigueur depuis le 1erjanv. 1992 (RO19912125; FF1989III 369).3Introduit par le ch. I de la LF du 22 mars 2002, en vigueur depuis le 1erjuil. 2003 (RO20031728;FF20012123).4Nouvelle teneur selon le ch. I de la LF du 5 oct. 1990, en vigueur depuis le 1erjanv. 1992 (RO19912125; FF1989III 369).</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