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CDP.2013.203 vom 23. November 2006</w:t>
      </w:r>
    </w:p>
    <w:p>
      <w:r>
        <w:t>NE Tribunal cantonal, 2006-11-23, FR</w:t>
      </w:r>
    </w:p>
    <w:p>
      <w:r>
        <w:rPr>
          <w:b/>
        </w:rPr>
        <w:t xml:space="preserve">Quelle: </w:t>
      </w:r>
      <w:r>
        <w:t>https://mcp.opencaselaw.ch/entscheid/ne_gerichte_CDP.2013.203_d20061123</w:t>
      </w:r>
    </w:p>
    <w:p>
      <w:r>
        <w:t>FR: NE_GERICHTE CDP.2013.203 du 23 novembre 2006</w:t>
      </w:r>
    </w:p>
    <w:p>
      <w:r>
        <w:t>IT: NE_GERICHTE CDP.2013.203 del 23 novembre 2006</w:t>
      </w:r>
    </w:p>
    <w:p>
      <w:pPr>
        <w:pStyle w:val="Heading2"/>
      </w:pPr>
      <w:r>
        <w:t>Regeste</w:t>
      </w:r>
    </w:p>
    <w:p>
      <w:r>
        <w:t>Déductions pour enfants majeurs en formation pour parents divorcés.</w:t>
      </w:r>
    </w:p>
    <w:p>
      <w:pPr>
        <w:pStyle w:val="Heading2"/>
      </w:pPr>
      <w:r>
        <w:t>Erwägungen</w:t>
      </w:r>
    </w:p>
    <w:p>
      <w:r>
        <w:rPr>
          <w:b/>
        </w:rPr>
        <w:t>E. 1</w:t>
      </w:r>
    </w:p>
    <w:p>
      <w:r>
        <w:t>Interjeté dans les formes et délai légaux, le recours est recevable.</w:t>
      </w:r>
    </w:p>
    <w:p>
      <w:r>
        <w:rPr>
          <w:b/>
        </w:rPr>
        <w:t>E. 2</w:t>
      </w:r>
    </w:p>
    <w:p>
      <w:r>
        <w:t>être représenté dans un parlement cantonal,</w:t>
      </w:r>
    </w:p>
    <w:p>
      <w:r>
        <w:rPr>
          <w:b/>
        </w:rPr>
        <w:t>E. 3</w:t>
      </w:r>
    </w:p>
    <w:p>
      <w:r>
        <w:t>avoir obtenu au moins 3 % des voix lors des dernières élections au parlement d'un canton;</w:t>
      </w:r>
    </w:p>
    <w:p>
      <w:r>
        <w:t>m.10un montant déterminé par le droit cantonal pour chaque enfant dont la garde est assurée par un tiers, si l'enfant a moins de 14 ans et vit dans le même ménage que le contribuable assurant son entretien et si les frais de garde, documentés, ont un lien de causalité direct avec l'activité lucrative, la formation ou l'incapacité de gain du contribuable;</w:t>
      </w:r>
    </w:p>
    <w:p>
      <w:r>
        <w:t>n.11les mises, à hauteur d'un pourcentage déterminé par le droit cantonal pour les gains de loterie ou d'opérations analogues; les cantons peuvent fixer le montant maximal de la déduction.</w:t>
      </w:r>
    </w:p>
    <w:p>
      <w:r>
        <w:t>3Le contribuable qui possède des immeubles privés peut déduire les frais nécessaires à leur entretien, les frais de remise en état d'immeubles acquis récemment, les primes d'assurances relatives à ces immeubles et les frais d'administration par des tiers. En outre, les cantons peuvent prévoir des déductions pour la protection de l'environnement, les mesures d'économie d'énergie et la restauration des monuments historiques. Ces trois dernières déductions sont soumises à la réglementation suivante:12</w:t>
      </w:r>
    </w:p>
    <w:p>
      <w:r>
        <w:t>a. le Département fédéral des finances détermine en collaboration avec les cantons dans quelle mesure les investissements destinés à économiser l'énergie et à ménager l'environnement peuvent être assimilés à des frais d'entretien;</w:t>
      </w:r>
    </w:p>
    <w:p>
      <w:r>
        <w:t>b. pour autant qu'ils ne soient pas subventionnés, les frais occasionnés par des travaux de restauration de monuments historiques sont déductibles dans la mesure où le contribuable les a entrepris en vertu de dispositions légales, en accord avec les autorités ou sur ordre d'une autorité administrative.</w:t>
      </w:r>
    </w:p>
    <w:p>
      <w:r>
        <w:t>4On n'admettra pas d'autres déductions. Les déductions pour enfants et autres déductions sociales de droit cantonal sont réservées.</w:t>
      </w:r>
    </w:p>
    <w:p>
      <w:r>
        <w:t>1Nouvelle teneur selon le ch. II 3 de la LF du 23 mars 2007 sur la réforme de l'imposition des entreprises II, en vigueur depuis le 1erjanv. 2009 (RO20082893;FF20054469).2Nouvelle teneur selon le ch. I 6 de la LF du 19 mars 1999 sur le programme de stabilisation 1998, en vigueur depuis le 1erjanv. 2001 (RO19992374;FF19993).3Nouvelle teneur selon le ch. 4 de l'annexe à la LF du 18 juin 2004, en vigueur depuis le 1erjanv. 2005 (RO20044635;FF20035835).4Nouvelle teneur selon le ch. 3 de l'annexe à la LF du 13 déc. 2002 sur l'égalité pour les handicapés, en vigueur depuis le 1erjanv. 2005 (RO20034487;FF20011605).5Introduite par le ch. 3 de l'annexe à la LF du 13 déc. 2002 sur l'égalité pour les handicapés, en vigueur depuis le 1erjanv. 2005 (FF20011605).6RS151.37Nouvelle teneur selon le ch. 4 de l'annexe à la LF du 8 oct. 2004 (Droit des fondations), en vigueur depuis le 1erjanv. 2006 (RO20054545;FF200374257463).8Introduite par le ch. I 2 de la LF du 12 juin 2009 sur la déductibilité des versements en faveur de partis politiques, en vigueur depuis le 1erjanv. 2011 (RO2010449;FF200868236845).9RS161.110Introduite par le ch. I 2 de la LF du 25 sept. 2009 sur les allégements fiscaux en faveur des familles avec enfants, en vigueur depuis le 1erjanv. 2011 (RO2010455;FF20094237). Rectifiée par la CdR de l'Ass. féd. (art. 58, al. 1, LParl; RS HYPERLINK "http://www.bk.admin.ch/ch/f/rs/c171_10.html" ).11Introduite par le ch. I 2 de la LF du 15 juin 2012 sur les simplifications de l'imposition des gains faits dans les loteries, en vigueur depuis le 1erjanv. 2014 (RO20125977;FF201160366059).12Nouvelle teneur selon le ch. I 2 de la LF du 3 oct. 2008 sur le traitement fiscal des frais de remise en état des immeubles, en vigueur depuis le 1erjanv. 2010 (RO20091515;FF200775017517).</w:t>
      </w:r>
    </w:p>
    <w:p>
      <w:r>
        <w:rPr>
          <w:b/>
        </w:rPr>
        <w:t>E. 4</w:t>
      </w:r>
    </w:p>
    <w:p>
      <w:r>
        <w:t>Le recours est partiellement admis pour la déduction des cotisations d'assurance-maladie pour l'ICD, la détermination du service intimé impliquant une reconsidération en faveur du recourant sur ce point en ce qui concerne l'IFD. Il est rejeté pour le surplus. Le recourant, qui obtient très partiellement gain de cause, supportera une part réduite de frais (art. 47 LPJA ) et a droit à des dépens également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