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CDP.2013.203 vom 25. August 2014</w:t>
      </w:r>
    </w:p>
    <w:p>
      <w:r>
        <w:t>NE Tribunal cantonal, 2014-08-25, FR</w:t>
      </w:r>
    </w:p>
    <w:p>
      <w:r>
        <w:rPr>
          <w:b/>
        </w:rPr>
        <w:t xml:space="preserve">Quelle: </w:t>
      </w:r>
      <w:r>
        <w:t>https://mcp.opencaselaw.ch/entscheid/ne_gerichte_CDP.2013.203</w:t>
      </w:r>
    </w:p>
    <w:p>
      <w:r>
        <w:t>FR: NE_GERICHTE CDP.2013.203 du 25 août 2014</w:t>
      </w:r>
    </w:p>
    <w:p>
      <w:r>
        <w:t>IT: NE_GERICHTE CDP.2013.203 del 25 agosto 2014</w:t>
      </w:r>
    </w:p>
    <w:p>
      <w:pPr>
        <w:pStyle w:val="Heading2"/>
      </w:pPr>
      <w:r>
        <w:t>Erwägungen</w:t>
      </w:r>
    </w:p>
    <w:p>
      <w:r>
        <w:rPr>
          <w:b/>
        </w:rPr>
        <w:t>E. 1</w:t>
      </w:r>
    </w:p>
    <w:p>
      <w:r>
        <w:t>Interjeté dans les formes et délai légaux, le recours est recevable.</w:t>
      </w:r>
    </w:p>
    <w:p>
      <w:r>
        <w:rPr>
          <w:b/>
        </w:rPr>
        <w:t>E. 2</w:t>
      </w:r>
    </w:p>
    <w:p>
      <w:r>
        <w:t>être représenté dans un parlement cantonal,</w:t>
      </w:r>
    </w:p>
    <w:p>
      <w:r>
        <w:rPr>
          <w:b/>
        </w:rPr>
        <w:t>E. 3</w:t>
      </w:r>
    </w:p>
    <w:p>
      <w:r>
        <w:t>avoir obtenu au moins 3 % des voix lors des dernières élections au parlement d'un canton;</w:t>
      </w:r>
    </w:p>
    <w:p>
      <w:r>
        <w:t>m.10un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n.11les mises, à hauteur d'un pourcentage déterminé par le droit cantonal pour les gains de loterie ou d'opérations analogues; les cantons peuvent fixer le montant maximal de la déduction.</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suivante:12</w:t>
      </w:r>
    </w:p>
    <w:p>
      <w:r>
        <w:t>a. le Département fédéral des finances détermine en collaboration avec les cantons dans quelle mesure les investissements destinés à économiser l'énergie et à ménager l'environnement peuvent être assimilés à des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LF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LF du 13 déc. 2002 sur l'égalité pour les handicapés, en vigueur depuis le 1erjanv. 2005 (RO20034487;FF20011605).5Introduite par le ch. 3 de l'annexe à la LF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CdR de l'Ass. féd. (art. 58, al. 1, LParl; RS HYPERLINK "http://www.bk.admin.ch/ch/f/rs/c171_10.html" ).11Introduite par le ch. I 2 de la LF du 15 juin 2012 sur les simplifications de l'imposition des gains faits dans les loteries, en vigueur depuis le 1erjanv. 2014 (RO20125977;FF201160366059).12Nouvelle teneur selon le ch. I 2 de la LF du 3 oct. 2008 sur le traitement fiscal des frais de remise en état des immeubles, en vigueur depuis le 1erjanv. 2010 (RO20091515;FF200775017517).</w:t>
      </w:r>
    </w:p>
    <w:p>
      <w:r>
        <w:rPr>
          <w:b/>
        </w:rPr>
        <w:t>E. 4</w:t>
      </w:r>
    </w:p>
    <w:p>
      <w:r>
        <w:t>Le recours est partiellement admis pour la déduction des cotisations d'assurance-maladie pour l'ICD, la détermination du service intimé impliquant une reconsidération en faveur du recourant sur ce point en ce qui concerne l'IFD. Il est rejeté pour le surplus. Le recourant, qui obtient très partiellement gain de cause, supportera une part réduite de frais (art. 47 LPJA ) et a droit à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