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CDP.2013.159 vom 5. September 2013</w:t>
      </w:r>
    </w:p>
    <w:p>
      <w:r>
        <w:t>NE Tribunal cantonal, 2013-09-05, FR</w:t>
      </w:r>
    </w:p>
    <w:p>
      <w:r>
        <w:rPr>
          <w:b/>
        </w:rPr>
        <w:t xml:space="preserve">Quelle: </w:t>
      </w:r>
      <w:r>
        <w:t>https://mcp.opencaselaw.ch/entscheid/ne_gerichte_CDP.2013.159</w:t>
      </w:r>
    </w:p>
    <w:p>
      <w:r>
        <w:t>FR: NE_GERICHTE CDP.2013.159 du 5 septembre 2013</w:t>
      </w:r>
    </w:p>
    <w:p>
      <w:r>
        <w:t>IT: NE_GERICHTE CDP.2013.159 del 5 settembre 2013</w:t>
      </w:r>
    </w:p>
    <w:p>
      <w:pPr>
        <w:pStyle w:val="Heading2"/>
      </w:pPr>
      <w:r>
        <w:t>Erwägungen</w:t>
      </w:r>
    </w:p>
    <w:p>
      <w:r>
        <w:rPr>
          <w:b/>
        </w:rPr>
        <w:t>E. 1</w:t>
      </w:r>
    </w:p>
    <w:p>
      <w:r>
        <w:t>Interjeté dans les formes et délai légaux, le recours est recevable.</w:t>
      </w:r>
    </w:p>
    <w:p>
      <w:r>
        <w:rPr>
          <w:b/>
        </w:rPr>
        <w:t>E. 2</w:t>
      </w:r>
    </w:p>
    <w:p>
      <w:r>
        <w:t>a) Le droit d'être entendu ancré à l'article 29 al.2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ou administratives. Toute prise de position ou pièce nouvelle versée au dossier doit dès lors être communiquée aux parties pour leur permettre de décider si elles veulent ou non faire usage de leur faculté de se déterminer (ATF 137 I 195 cons. 2.3.1 et les références). Dans ce sens, l'article 29 al. 2 Cst confère un véritable droit de réplique, mêmes dans les domaines qui n'entrent pas dans le champ d'application de l'article 6 CEDH (ATF 138 I 154 ). b) D'une part, il résulte du dossier que tant le courrier spontané de l'époux de la recourante du 27 août 2012 et ses annexes, que celui du 26 septembre 2012 - résultat de l'instruction menée par le SMIG - et ses annexes, ont été transmis à celle-ci, respectivement les 4 septembre et 3 octobre 2012, pour qu'elle se détermine à leur sujet, ce qu'elle a fait le 9 novembre 2012. Si les annexes, que le SMIG mentionnait expressément dans ses envois, avaient fait défaut, son mandataire n'aurait pas manqué de le signaler aussitôt. D'autre part, l'acte d'instruction consistant pour le SMIG à solliciter, le 19 septembre 2012, des renseignements de l'époux de l'intéressée, ne constitue manifestement pas une prise de position ou une pièce nouvelle versée au dossier qu'il y avait lieu de lui communiquer d'office. Lorsque celle-ci a été invitée à se déterminer sur la correspondance de son conjoint du 26 septembre 2012, il lui était loisible d'exprimer son souhait de poser des questions complémentaires. Elle n'en a rien fait dans sa prise de position du 9 novembre 2012. A l'instar du département, force est dès lors de retenir que son droit d'être entendue a été parfaitement respecté.</w:t>
      </w:r>
    </w:p>
    <w:p>
      <w:r>
        <w:rPr>
          <w:b/>
        </w:rPr>
        <w:t>E. 3</w:t>
      </w:r>
    </w:p>
    <w:p>
      <w:r>
        <w:t>a) En vertu de l'article 37 al. 3 LEtr , le titulaire d'une autorisation d'établissement a droit au changement de canton s'il n'existe aucun motif de révocation au sens de l'article 63. Selon l'alinéa 1 lettre a de cette disposition, l'autorisation d'établissement peut être révoquée notamment si les conditions visées à l'article 62 let. a LEtr sont remplies. A teneur de cette disposition, la révocation de l'autorisation de séjour peut être prononcée si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[aLSEE] (arrêt du TF du 01.03.2010 [2C_651/2009] cons. 4.1.1). A cet égard sont importants non seulement les faits sur lesquels l'autorité a expressément demandé des précisions, mais également ceux dont le recourant devait savoir qu'ils étaient déterminants pour l'octroi du permis (ATF 135 II 1 cons. 4.1 p. 9; arrêts du TF du 20.08.2012 [2C_726/2011] cons. 3.1.1; du 09.06.2008 [2C_60/2008] cons. 2.2.1). Le silence ou l'information erronée doivent avoir été utilisés de manière intentionnelle, à savoir dans l'optique d'obtenir l'autorisation de séjour ou d'établissement. L'étranger est tenu d'informer l'autorité de manière complète et conforme à la vérité sur tous les faits déterminants pour l'octroi de l'autorisation; il doit en particulier indiquer si la communauté conjugale n'est plus effectivement vécue (arrêt du TF du 31.05.2011 [2C_15/2011] cons.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Si tel n'a pas été le cas, la personne concernée ne peut pas se voir reprocher facilement d'avoir obtenu l'autorisation grâce à de fausses déclarations ou la dissimulation de faits essentiels (arrêt du TF du 20.08.2012 [2C_726/2011] cons. 3.1.1 et les références citées). Cela étant, il importe peu que l'autorité eût pu découvrir de tels faits par elle-même si elle avait fait preuve de diligence (arrêt du TF du 07.02.2013 [2C_682/2012] cons. 4.1 et l'arrêt cité). 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 3.2; cf. aussi arrêt du 12.03.2012 [2C_1007/2011] cons. 4.4). Partant, si l'enchaînement rapide des événements fonde la présomption de fait que l'octroi d'une autorisation a été obtenu frauduleusement, il incombe alors à l'administré, en raison non seulement de son devoir de collaborer à l'établissement des faits (cf. ATF 132 II 113 cons. 3.2), mais également dans son propre intérêt, de renverser cette présomption (ATF 130 II 482 cons. 3.2).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161 cons.. 3; arrêt du TF du 07.02.2013 [2C_682/2012] cons. 4.1] et arrêt cité). b) 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La jurisprudence relative à l'invocation abusive de l'union matrimoniale est, ici, pertinente même si elle n'a qu'une portée indirecte (ATF 135 II 1 cons. 4.2). Selon cette jurisprudence, est considérée comme abusive l'invocation d'un mariage qui n'a plus de substance et n'existe plus que formellement parce que l'union conjugale apparaît définitivement rompue, faute de chances de réconciliation entre les époux (cf. ATF 130 II 113 cons. 4.2; 128 II 145 cons. 2 et 3). Dans cette hypothèse, l'intention réelle des époux ne peut souvent pas être établie par une preuve directe, mais seulement grâce à des indices (cf. ATF 127 II 49 cons. 5a, rendu sous l'ancien droit; arrêt du 23.02.2011 [2C_811/2010] cons. 4.4.1, pour le nouveau droit); l'état de fait amenant à qualifier l'invocation de l'union matrimoniale comme abusive ne peut pas être retenu à la légère (ATF 135 II 1 cons. 4.2 p. 9; arrêt du TF du 20.08.2012 [2C_726/2011] cons. 3.1.2 ).</w:t>
      </w:r>
    </w:p>
    <w:p>
      <w:r>
        <w:rPr>
          <w:b/>
        </w:rPr>
        <w:t>E. 4</w:t>
      </w:r>
    </w:p>
    <w:p>
      <w:r>
        <w:t>En l'espèce, dans la cadre de la procédure d'octroi du permis d'établissement, la recourante a certifié, le 21 octobre 2011, qu'elle faisait toujours ménage commun à Riddes et attesté qu'aucune demande de séparation ou de divorce n'était actuellement en cours ou envisagée à ce jour. Elle a également été entendue, les 16 décembre 2011 et 3 février 2012, par la police intercommunale des Deux-Rives au sujet de son intégration et de sa présence en Valais. Sur la base de ses déclarations, elle a obtenu son permis d'établissement le 13 février 2012. Elle vit séparée de son mari depuis le 1 er mars 2012 (ch.1 de la Convention de séparation du 27.06.2012). Devant un enchaînement aussi rapide des événements - qui fondait la présomption de fait du caractère frauduleux de l'obtention du permis d'établissement – il appartenait à la recourante d'expliquer l'origine de la détérioration subite du lien conjugal. Selon celle-ci, l'élément déclencheur aurait été l'installation du couple dans la maison des parents de son époux à Sonvilier. Dans la mesure où, depuis sa prise d'emploi à La Chaux-de-Fonds, le 1 er avril 2007, l'intéressée vivait, durant la semaine, chez ses beaux-parents, cette explication n'apparaît pas plausible. En effet, soit des dissensions s'étaient installées dans le couple depuis cette date, auquel cas la recourante devait le signaler dans sa déclaration du 21 octobre 2011; soit les problèmes créés par cette proximité n'étaient pas suffisamment importants pour briser l'harmonie du couple et, dans ce cas, la cause réelle de la séparation doit être recherchée ailleurs. Quoi qu'il en soit, l'intéressée n'a invoqué aucun événement extraordinaire susceptible d'expliquer la détérioration, en un mois à peine, des liens du mariage. Car, faut-il le rappeler, les époux A et X. ont déclaré vivre séparés depuis le 1 re mars 2012, alors que le 3 février précédent, la recourante indiquait encore, sans aucune réserve, vivre du lundi au jeudi chez ses beaux-parents. C'est par conséquent à bon droit qu'il a été retenu que l'obtention de l'autorisation d'établissement reposait sur de fausses déclarations quant au caractère intact de l'union. On peut d'ailleurs d'autant plus douter des sentiments que l'intéressée prétend encore éprouver à l'égard de son époux qu'elle a reconnu, devant la présidente du Tribunal régional du Jura bernois-Seeland, le 27 juin 2012, qu'elle avait un ami, cette relation remontant à une période où elle vivait encore à Sonvilier. Ce qui précède conduit à confirmer la décision attaquée, ainsi que celle du SMIG dont la proportionnalité, examinée par le département, n'a pas été, à juste titre, contestée par la recourante. Le dossier s'étant révélé suffisant pour permettre à la Cour de céans de se prononcer, il ne sera pas donner suite aux réquisitions de preuve. Quant à la conclusion du recours consistant à solliciter, à titre provisionnel, l'autorisation de séjourner sur territoire neuchâtelois durant la proc.ure, elle devient sans objet dans la mesure où elle en avait un (art. 40 LPJA).</w:t>
      </w:r>
    </w:p>
    <w:p>
      <w:r>
        <w:rPr>
          <w:b/>
        </w:rPr>
        <w:t>E. 5</w:t>
      </w:r>
    </w:p>
    <w:p>
      <w:r>
        <w:t>Le recours doit être rejeté aux frais de son auteur (art. 47 al. 1 LPJA)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