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CDP.2012.244 vom 14. April 2011</w:t>
      </w:r>
    </w:p>
    <w:p>
      <w:r>
        <w:t>NE Tribunal cantonal, 2011-04-14, FR</w:t>
      </w:r>
    </w:p>
    <w:p>
      <w:r>
        <w:rPr>
          <w:b/>
        </w:rPr>
        <w:t xml:space="preserve">Quelle: </w:t>
      </w:r>
      <w:r>
        <w:t>https://mcp.opencaselaw.ch/entscheid/ne_gerichte_CDP.2012.244_d20110414</w:t>
      </w:r>
    </w:p>
    <w:p>
      <w:r>
        <w:t>FR: NE_GERICHTE CDP.2012.244 du 14 avril 2011</w:t>
      </w:r>
    </w:p>
    <w:p>
      <w:r>
        <w:t>IT: NE_GERICHTE CDP.2012.244 del 14 aprile 2011</w:t>
      </w:r>
    </w:p>
    <w:p>
      <w:pPr>
        <w:pStyle w:val="Heading2"/>
      </w:pPr>
      <w:r>
        <w:t>Regeste</w:t>
      </w:r>
    </w:p>
    <w:p>
      <w:r>
        <w:t>Assurance-chômage. Droit à l’indemnité en cas d’insolvabilité. Obligation de diminuer le dommage.</w:t>
      </w:r>
    </w:p>
    <w:p>
      <w:pPr>
        <w:pStyle w:val="Heading2"/>
      </w:pPr>
      <w:r>
        <w:t>Erwägungen</w:t>
      </w:r>
    </w:p>
    <w:p>
      <w:r>
        <w:rPr>
          <w:b/>
        </w:rPr>
        <w:t>E. 1</w:t>
      </w:r>
    </w:p>
    <w:p>
      <w:r>
        <w:t>Interjeté dans les formes et délai légaux, le recours est recevable.</w:t>
      </w:r>
    </w:p>
    <w:p>
      <w:r>
        <w:rPr>
          <w:b/>
        </w:rPr>
        <w:t>E. 2</w:t>
      </w:r>
    </w:p>
    <w:p>
      <w:r>
        <w:t>a) Selon l'article 51 al. 1 LACI ,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salaires envers lui (let. a). b) En l'espèce, la recourante a été engagée par Y. par contrat du 14 avril 2011. Cependant, il ressort des pièces du dossier (notamment l'extrait du registre du commerce et les déclarations de Y. lors de la procédure de mainlevée d'opposition) que le véritable employeur de la recourante était la société B. SA dont Y. était administratrice et que c'est par erreur que le contrat de travail signé entre les parties mentionne comme employeur Y. Dès lors, X. était engagée par un contrat de travail et ainsi assujettie au paiement de cotisations. Son employeur, la société B. SA, a été déclaré en faillite le 1 er février 2012 et elle a des créances de salaire envers cette dernière. Les conditions de l'article 51 al. 1 let. a LACI sont ainsi remplies.</w:t>
      </w:r>
    </w:p>
    <w:p>
      <w:r>
        <w:rPr>
          <w:b/>
        </w:rPr>
        <w:t>E. 3</w:t>
      </w:r>
    </w:p>
    <w:p>
      <w:r>
        <w:t>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(art. 51 al. 2 LACI ). Dans le cas d'espèce, l'intimée ne retient plus dans la décision attaquée que la recourante exerçait une fonction dirigeante, se contentant de lui opposer l'insuffisance des démarches entreprises en vue de récupérer ses arriérés de salaires. Or, la décision du 8 mai 2012 est devenue caduque dès le prononcé de la décision sur opposition, car celle-ci remplace la décision initiale, met fin à la procédure administrative et constitue l'objet de la contestation soumise à l'autorité de recours (arrêts du TF du 28.02.2012 [9C_320/2011] cons. 7.1, avec les références citées, et du 18.12.2012 [8C_529/2012] cons. 3.2). Il n'y ainsi pas lieu d'examiner cette question qui ne fait plus partie de l'objet de la contestation soumise à la Cour de céans.</w:t>
      </w:r>
    </w:p>
    <w:p>
      <w:r>
        <w:rPr>
          <w:b/>
        </w:rPr>
        <w:t>E. 4</w:t>
      </w:r>
    </w:p>
    <w:p>
      <w:r>
        <w:t>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(art. 55 al. 1 LACI). L'obligation de diminuer le dommage qu'exprime cette disposition exige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(ATF 127 V 185 cons. 3c, 114 V 60 cons. 4; DTA 2002 no 8, p. 64 cons. 1b, 1999 no 24, p. 143 cons. 1c). Le fait de ne rien entreprendre pour récupérer une créance, dans le but de permettre à un employeur en situation financière délicate d'investir ses liquidités dans d'autres projets, contrevient à l'obligation de réduire le dommage. De même, un employé parfaitement au courant du fait que son employeur ne peut pas le rémunérer n'a pas droit à l'indemnité en cas d'insolvabilité s'il s'accommode de cette situation. Il doit entamer des démarches sérieuses et contraignantes pour obtenir le versement de son salaire. Ainsi, celui qui accepte, sans garantie, des promesses jamais réalisées de versement de son salaire, sans mettre formellement son employeur en demeure, n'a pas droit à l'indemnité en cas d'insolvabilité ( Rubin , Assurance-chômage, Droit fédéral, Survol des mesures de crise cantonales, Procédure, 2005, p. 362 et les références citées). En principe, l'obligation de diminuer le dommage à la charge du travailleur existe également avant la dissolution du rapport de travail, quand l'employeur ne verse pas – ou pas entièrement – le salaire et que le salarié peut s'attendre à subir une perte. Ce n'est pas le but de l'indemnité en cas d'insolvabilité de couvrir des créances de salaires auxquelles l'assuré a renoncé sans raison justifiée. L'obligation de diminuer le dommage qui incombe à l'assuré avant la résiliation des rapports de travail n'est toutefois pas soumise aux mêmes exigences que la même 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Contrevient dès lors à son obligation de diminuer le dommage et partant n'a pas droit à l'indemnité en cas d'insolvabilité, l'assuré qui s'abstient de toute démarche utile en vue de recouvrer son salaire, parce qu'il accepte de différer pour une longue période l'encaissement de sa créance à des jours meilleurs, sans véritable garantie que l'employeur soit en mesure de remplir un jour ses obligations (DTA 2002 no 3, p. 190). Il est tenu d’entreprendre des démarches supplémentaires dès que les retards deviennent importants et qu’il doit effectivement s’attendre à subir une perte de salaire (DTA 2007 no 4, p. 54 cons. 4.1). Il n’est pas possible de fixer de manière générale les dispositions que doit prendre l’employé afin de se conformer à son obligation de diminuer son dommage. Tout dépend des circonstances particulières du cas d’espèce. Un refus de prestation au motif que l’assuré a enfreint son obligation de diminuer le dommage au sens de l’article 55 al. 1 LACI suppose qu’on puisse lui reprocher d’avoir commis une faute intentionnelle ou une négligence grave. Commet une telle négligence notamment l’assuré qui fait valoir uniquement par oral des créances de salaires accumulées sur une longue période, c'est-à-dire au-delà de deux à trois mois, lorsqu'aucun acompte ou paiement partiel n'est versé et lorsque, du point de vue de l'assuré, il n'a pas de bonnes raisons d'espérer une amélioration prochaine de la situation (DTA 2010 no 1, p. 48 cons. 4.2).</w:t>
      </w:r>
    </w:p>
    <w:p>
      <w:r>
        <w:rPr>
          <w:b/>
        </w:rPr>
        <w:t>E. 5</w:t>
      </w:r>
    </w:p>
    <w:p>
      <w:r>
        <w:t>En l'occurrence, il faut apprécier si les démarches sont suffisamment sérieuses et contraignantes pour admettre que la recourante a pris les mesures nécessaires pour diminuer son dommage et ce dans le délai convenable, en fonction des circonstances particulières du cas d'espèce. Il ressort du dossier que dès le début du contrat de travail, la recourante n'a pas reçu son salaire en intégralité. Alors qu'elle avait débuté son activité le 23 mai 2011, ce qui lui donnait droit à un tiers ou à un quart de 4'600 francs (selon les jours de fermeture, qui ne ressortent pas du dossier), elle n'a touché qu'un acompte de 450 francs. Par la suite, elle n'a plus rien reçu. Elle indique avoir réclamé ses salaires par oral, puis par SMS le 29 juin 2011. Ses demandes étant restées vaines, elle a alors, par lettre recommandée du 22 août 2011, mis formellement en demeure son employeur de lui payer ses arriérés de salaires de mai, juin, juillet et août 2011. Agissant ainsi, la recourante n'a pas tardé à entreprendre des démarches plus sérieuses que celles orales et par SMS afin de faire valoir son dû. En effet, elle n'a pas attendu plus de trois mois pour agir après avoir reçu un acompte, le salaire d'août n'étant en principe pas encore exigible avant la fin du mois (art. 323 al. 1 CO). La mise en demeure n'ayant pas eu l'effet escompté, elle a continué de faire pression sur son employeur en requérant par écrit, le 6 septembre 2011, le retrait de sa patente. Les mesures entreprises par la recourante doivent ainsi être qualifiées de suffisantes puisqu'elle a fait des démarches toujours plus contraignantes envers son employeur afin de récupérer ses salaires, ne se contentant pas d'attendre malgré la demande de celui-ci de patienter. Les mesures entreprises doivent aussi être considérées comme intervenues dans un délai approprié aux circonstances. A cet égard, on ne saurait lui reprocher, comme le fait l'intimée, de ne pas avoir rendu sa patente au plus tard le 1 er juillet 2011 dans la mesure où à ce moment-là, il n'était pas encore totalement exclu qu'elle obtienne le paiement de ses salaires.</w:t>
      </w:r>
    </w:p>
    <w:p>
      <w:r>
        <w:rPr>
          <w:b/>
        </w:rPr>
        <w:t>E. 6</w:t>
      </w:r>
    </w:p>
    <w:p>
      <w:r>
        <w:t>Il suit de ce qui précède que la décision attaquée doit être annulée et la cause renvoyée à la CCNAC pour qu'elle rende une nouvelle décision sur les prétentions de la recourante. Il est statué sans frais, la procédure étant en principe gratuite. Vu l'issue du litige, la recourante a droit à des dépens dans la mesure fixée par le tribunal; leur montant est déterminé sans égard à la valeur litigieuse d'après l'importance et la complexité du litige (art. 61 let. g LPGA). Le montant de ceux-ci doit être défini dans les limites prévues par le décret du 6 novembre 2012 fixant le tarif des frais, des émoluments de chancellerie et des dépens en matière civile, pénale et administrative ( TFrais ), entré en vigueur le 1 er janvier 2013 et applicable à toutes les causes pendantes devant les autorités à son entrée en vigueur (art. 71 TFrais). Dans son mémoire de recours, Me C. conclut à une indemnité de dépens de 2'949.50 francs sans toutefois en faire le détail. Ce montant paraît quelque peu excessif. L'activité déployée par le mandataire devant la Cour de céans, qui a consisté en la rédaction d'un recours, précédée de l'examen du dossier et probablement d'un entretien avec sa cliente, ne peut avoir excédé quelque 7 heures surtout qu'il représentait déjà la recourante devant l'autorité intimée. Eu égard au tarif usuellement appliqué par la Cour de céans, de l'ordre de 250 francs de l'heure , des débours à raison de 10 % des honoraires (art. 65 TFrais) et la TVA de 8 %, l'indemnité de dépens sera fixée au montant de 2'079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