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CDP.2012.209 vom 6. Februar 2013</w:t>
      </w:r>
    </w:p>
    <w:p>
      <w:r>
        <w:t>NE Tribunal cantonal, 2013-02-06, FR</w:t>
      </w:r>
    </w:p>
    <w:p>
      <w:r>
        <w:rPr>
          <w:b/>
        </w:rPr>
        <w:t xml:space="preserve">Quelle: </w:t>
      </w:r>
      <w:r>
        <w:t>https://mcp.opencaselaw.ch/entscheid/ne_gerichte_CDP.2012.209</w:t>
      </w:r>
    </w:p>
    <w:p>
      <w:r>
        <w:t>FR: NE_GERICHTE CDP.2012.209 du 6 février 2013</w:t>
      </w:r>
    </w:p>
    <w:p>
      <w:r>
        <w:t>IT: NE_GERICHTE CDP.2012.209 del 6 febbraio 2013</w:t>
      </w:r>
    </w:p>
    <w:p>
      <w:pPr>
        <w:pStyle w:val="Heading2"/>
      </w:pPr>
      <w:r>
        <w:t>Erwägungen</w:t>
      </w:r>
    </w:p>
    <w:p>
      <w:r>
        <w:rPr>
          <w:b/>
        </w:rPr>
        <w:t>E. 1</w:t>
      </w:r>
    </w:p>
    <w:p>
      <w:r>
        <w:t>Interjeté dans les formes et délai légaux, le recours est recevable.</w:t>
      </w:r>
    </w:p>
    <w:p>
      <w:r>
        <w:rPr>
          <w:b/>
        </w:rPr>
        <w:t>E. 2</w:t>
      </w:r>
    </w:p>
    <w:p>
      <w:r>
        <w:t>a) Aux termes de l'article 47 al. 5 LPJA , l'autorité de recours perçoit du recourant une avance de frais équivalente aux frais de procédure présumés. Elle lui impartit pour le versement de cette avance un délai raisonnable en l'avertissant qu'à défaut, elle déclarera le recours irrecevable. En cas de motifs particuliers, elle peut renoncer à percevoir la totalité ou une partie de l'avance de frais, ou autoriser son versement par acomptes ou encore accorder à celui-ci le bénéfice de l’assistance judiciaire. b) Le formalisme excessif est un aspect particulier du déni de justice prohibé par l'article 29 al. 1 Cst. féd.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 5.4.1; 128 II 139 cons. 2a ; 127 I 31 cons. 2a/bb). En tant qu'il sanctionne un comportement répréhensible de l'autorité dans ses relations avec le justiciable, l'interdiction du formalisme excessif poursuit le même but que le principe de la bonne foi consacré aux articles 5 al. 3 et 9 Cst. féd. A cet égard, il commande à l'autorité d'éviter de sanctionner, par l'irrecevabilité, les vices de procédure aisément reconnaissables qui auraient pu être redressés à temps, lorsqu'elle pouvait s'en rendre compte assez tôt et les signaler utilement au plaideur (ATF 135 I 6 cons. 2.1; 125 I 166 cons. 3a; arrêt du TF du 7.09.2011 [2C_373/2011] cons.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(ATF 133 V 402 cons. 3.3; 104 Ia 105 cons. 5 ; arrêt du TF du 03.11.2011 [2C_889/2011] et [2C_890/2011] cons. 3.2). Les conséquences procédurales attachées au défaut de paiement de l'avance de frais doivent en outre découler d'une loi au sens formel (ATF 133 V 402 cons. 3.4; a rrêt du TF du 24.12.2010 [5A_376/2010] cons. 5.1). Le Tribunal fédéral considère au surplus que si le non-respect d’un délai pour le dépôt d’un mémoire dans une affaire complexe nécessite un examen détaillé des raisons pour lesquelles l’acte à accomplir est tardif, il n’en va pas de même du paiement d’une simple avance de frais (arrêt du TF du 28.12.2012 [9C_796/2012] cons. 3.1 ; Frésard , Commentaire de la LTF, nos 7 et 8 ad art. 50 LTF).</w:t>
      </w:r>
    </w:p>
    <w:p>
      <w:r>
        <w:rPr>
          <w:b/>
        </w:rPr>
        <w:t>E. 3</w:t>
      </w:r>
    </w:p>
    <w:p>
      <w:r>
        <w:t>En procédure administrative neuchâteloise, les dispositions du CPC relatives aux délais et à leur restitution sont applicables par analogie (art. 20 LPJA ). En vertu de ces dispositions, un paiement au tribunal est effectué dans le délai prescrit lorsque le montant est versé en faveur du tribunal à la poste suisse ou débité d’un compte bancaire ou postal en Suisse le dernier jour du délai au plus tard (art. 143 al. 3 CPC ). Les délais légaux ne peuvent pas être prolongés. Les délais fixés judiciairement peuvent être prolongés pour des motifs suffisants, lorsque la demande en est faite avant leur expiration (art. 144 CPC ).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Si une décision a été communiquée, la restitution ne peut être requise que dans les six mois qui suivent l’entrée en force de la décision (art. 148 CPC ). En procédure civile, l'article 101 CPC octroie un droit à un délai supplémentaire pour s'acquitter d'avances ou de sûretés à la partie qui n'a pas fourni le montant réclamé dans le délai imparti. Cette disposition est située dans le chapitre 1 "Frais" du titre 8 intitulé "Frais et assistance judiciaire" et non dans le chapitre 3 "Délais, défaut et restitution" du titre 9 "Conduite du procès, actes de procédure et délais" qui contient les dispositions sur les délais et la restitution auxquelles renvoie l'article 20 LPJA . Dans la mesure où l'article 47 al. 5 LPJA prévoit expressément la sanction d'irrecevabilité en cas de versement tardif de l'avance de frais en procédure de recours, et faute de renvoi expresse de la LPJA aux dispositions du CPC relatives aux frais, l'article 101 CPC ne saurait trouver application dans le cas d'espèce (arrêt de la CDP du 14.3.2012 [ CDP.2011.230 ] cons. 3 et, sur la constante jurisprudence de la Cour de céans sur l’absence de formalisme excessif dans le paiement tardif de l’avance de frais, arrêt de la CDP du 29.5.2012 [ CDP.2012.80 ] et la jurisprudence citée).</w:t>
      </w:r>
    </w:p>
    <w:p>
      <w:r>
        <w:rPr>
          <w:b/>
        </w:rPr>
        <w:t>E. 4</w:t>
      </w:r>
    </w:p>
    <w:p>
      <w:r>
        <w:t>En l'occurrence, le recourant ne peut contester sérieusement que le paiement du deuxième (puis du troisième) acompte de l'avance de frais étaient tardifs, selon les dates vérifiées puis communiquées par le service juridique, puisque le deuxième, selon les relevés de l’administration, n'a été acquitté que le 3 mai 2012, soit six jours après le dernier jour du délai imparti, et le dernier que le 31 mai 2012, soit à nouveau six jours après le délai imparti. La nouvelle demande d’avance de frais du 27 mars 2012, qui faisait suite à la requête du recourant, lui a fixé trois délais pour verser la somme de 550 francs, sous la forme de trois acomptes, les montants et délais ayant été dûment indiqués et le recourant expressément averti des conséquences de l’inobservation de ceux-ci. Dans la mesure où le délai imparti pour payer le premier acompte prolongeait déjà celui initialement fixé pour verser la globalité de l'avance de frais de 550 francs et que les deux termes suivants étaient espacés chacun d'un mois (27.4.2012 et 25.5.2012), les délais fixés pour fournir l'avance de frais étaient suffisants. La demande initiale du 8 mars 2012, à laquelle l'a renvoyé le courrier du 27 mars 2012, a par ailleurs informé l'intéressé de la possibilité de requérir l’assistance judiciaire. Dans ces circonstances, la demande d'avance de frais, qui repose en outre sur une base légale formelle (art. 47 al. 5 LPJA ), répond aux exigences de la LPJA et de la jurisprudence. Par ailleurs, à supposer que le courrier du recourant du 28 juin 2012 puisse être considéré comme une requête implicite de restitution de délai (encore qu’elle n’est en rien motivée sur ce point), celle-ci était tardive. Force est de constater que le délai légal de 10 jours prévu par l'article 148 CPC a en effet été très largement dépassé. Il n'y a dès lors pas lieu d'examiner si d’éventuelles conditions matérielles ouvrant le droit à une restitution du délai, que le recourant n’allègue ou n’établit même pas, sont remplies. Pour le surplus, les autres griefs du recourant relèvent de la plus absolue mauvaise foi. Soutenir, pour un professionnel de l’automobile menacé d’un retrait de permis de 12 mois, que les correspondances y relatives sont de la paperasserie dont on se débarrasse à bref délai dépasse l’entendement commun. Alléguer que s'il avait connaissance de l’octroi de facilités de paiements, il en ignorait les délais de paiement alors que ceux-ci figurent dans la même lettre et que les BVR référencés joints à ladite correspondance ont effectivement été utilisés pour effectuer les versements requis (tardifs par ailleurs pour les deux derniers) relève du burlesque. Prétendre qu’il appartiendrait à l’intimé créancier de prouver que son débiteur s’est acquitté hors délai des acomptes requis relève d’une interprétation pour le moins erronée de l’article 8 CC. Se prévaloir d’une violation de son droit d’être entendu parce qu'il n’a pas été appelé à prouver qu’il s’est acquitté dans les délais, alors que tant dans son mémoire du 28 juin 2012 que dans son complément du 28 septembre 2012 le recourant reconnaît lui-même qu’il est dans l’impossibilité d’établir ces faits puisqu’il jette toute sa paperasserie (ce qui paraît assez inquiétant de la part d'un commerçant) relève de l'abus de droit et fait fi du principe de l'économie de la procédure. Il s'ensuit que, conforme au droit, la décision d'irrecevabilité doit être confirmée.</w:t>
      </w:r>
    </w:p>
    <w:p>
      <w:r>
        <w:rPr>
          <w:b/>
        </w:rPr>
        <w:t>E. 5</w:t>
      </w:r>
    </w:p>
    <w:p>
      <w:r>
        <w:t>Totalement mal fondé, de nature purement dilatoire, manifestement téméraire et procédurier, le recours est rejeté. Dans la mesure où il a engendré, pour l’administration et pour la justice, des frais inusuels pour une telle cause simplissime, il en sera tenu compte dans la fixation des frais de justice, habituellement arrêtés à 770 francs mais qui en l'occurrence seront portés à 1'100 francs (art. 47 LPJA , art. 44 du décret du 16.11.2012 fixant le tarif des frais, immédiatement applicable aux procédures en cours au 1 er janvier 2013, selon ses articles 71 et 73), ce qui de toute manière ne représente toujours pas les frais effectifs de la cause. Le recourant qui succombe n’a au surplus naturellement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