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CDP.2011.99 vom 16. Dezember 2010</w:t>
      </w:r>
    </w:p>
    <w:p>
      <w:r>
        <w:t>NE Tribunal cantonal, 2010-12-16, FR</w:t>
      </w:r>
    </w:p>
    <w:p>
      <w:r>
        <w:rPr>
          <w:b/>
        </w:rPr>
        <w:t xml:space="preserve">Quelle: </w:t>
      </w:r>
      <w:r>
        <w:t>https://mcp.opencaselaw.ch/entscheid/ne_gerichte_CDP.2011.99_d20101216</w:t>
      </w:r>
    </w:p>
    <w:p>
      <w:r>
        <w:t>FR: NE_GERICHTE CDP.2011.99 du 16 décembre 2010</w:t>
      </w:r>
    </w:p>
    <w:p>
      <w:r>
        <w:t>IT: NE_GERICHTE CDP.2011.99 del 16 dicembre 2010</w:t>
      </w:r>
    </w:p>
    <w:p>
      <w:pPr>
        <w:pStyle w:val="Heading2"/>
      </w:pPr>
      <w:r>
        <w:t>Regeste</w:t>
      </w:r>
    </w:p>
    <w:p>
      <w:r>
        <w:t>Déduction du revenu au titre d'intérêts passifs (indemnité de rupture d'un contrat hypothécaire).</w:t>
      </w:r>
    </w:p>
    <w:p>
      <w:pPr>
        <w:pStyle w:val="Heading2"/>
      </w:pPr>
      <w:r>
        <w:t>Erwägungen</w:t>
      </w:r>
    </w:p>
    <w:p>
      <w:r>
        <w:rPr>
          <w:b/>
        </w:rPr>
        <w:t>E. 1</w:t>
      </w:r>
    </w:p>
    <w:p>
      <w:r>
        <w:t>Interjeté dans les formes et délai légaux, le recours est recevable.</w:t>
      </w:r>
    </w:p>
    <w:p>
      <w:r>
        <w:rPr>
          <w:b/>
        </w:rPr>
        <w:t>E. 2</w:t>
      </w:r>
    </w:p>
    <w:p>
      <w:r>
        <w:t>a)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RF 2005, p. 122 ss). b) Selon l 'article 9 al. 2 let. a de la loi fédérale sur l’harmonisation des impôts directs des cantons et des communes du 14 décembre 1990 (LHID), sont défalqués du revenu imposable, au titre de déduction générale, les intérêts passifs privés à concurrence du rendement imposable de la fortune au sens des art. 7 et 7a LHID, augmenté d’un montant de 50'000 francs. L'article 33 al. 1 let. a de la loi fédérale sur l'impôt fédéral direct du 14 décembre 1990 (LIFD) reprend cette disposition et impose la défalcation, au titre de déduction générale, des intérêts passifs privés à concurrence du rendement imposable de la fortune au sens des articles 20 et 21 LIFD, augmenté d'un montant de 50'000 francs. c) En ce qui concerne les impôts directs cantonal et communal, l'article 36 al. 1 let. a LCdir prévoit également que les intérêts passifs privés correspondant à la période de calcul, à concurrence du rendement imposable de la fortune au sens des articles 23 et 24 LCdir , augmenté d'un montant de 50'000 francs sont déductibles du revenu.</w:t>
      </w:r>
    </w:p>
    <w:p>
      <w:r>
        <w:rPr>
          <w:b/>
        </w:rPr>
        <w:t>E. 3</w:t>
      </w:r>
    </w:p>
    <w:p>
      <w:r>
        <w:t>a) Les intérêts passifs peuvent être déduits du revenu brut s'ils sont échus et exigibles dans la période de calcul indépendamment du fait qu'ils soient effectivement payés ou non, sauf lorsqu'il existe de sérieux doutes quant à leur paiement futur ( Locher , Kommentar zum DBG, Bâle 2001, art. 33 no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Yersin/Noël , Commentaire romand LIFD, Bâle 2008, art. 33 no 7). L'intérêt peut être dû périodiquement ou non, et fixé en pourcentage constant ou variable (indexé) du capital ( Locher , Kommentar, art. 33 no 19). Les intérêts de retard et les intérêts moratoires sont des intérêts déductibles ( Locher , Kommentar, art. 33 no 3; Yersin/Noël ,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 Oberson ,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 07.05.2002 [2A.148/2002] ). Le Tribunal fédéral a en outre précisé que la notion d'"intérêts privés" prévue à l'art. 33 al. 1 let. a LIFD , respectivement à l'art. 9 al. 2 let. a LHID , doit être interprétée sous l'angle économique. La forme, la désignation et le moment du versement des intérêts importent peu (arrêt du TF du 19.11.2008 [2C_393/2008] 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 b) En l'espèce, le litige porte sur la question de savoir si l'"indemnité de rupture" résultant de la résiliation anticipée d'un contrat hypothécaire peut être admise comme déduction générale du revenu au titre d'intérêts passifs au sens des articles 33 al. 1 let. a LIFD, 9 al. 2 let. a LHID et 36 al. 1 let. a LCdir . Selon la recourante, l'indemnité litigieuse est la rémunération du capital prêté par l'assurance. Cet argument ne saurait être suivi dans la mesure où les intérêts passifs résultant de la rémunération du montant prêté ont déjà été facturés séparément et déduits du revenu à hauteur de 7'995.85 francs pour l'année 2009. Par ailleurs, ladite indemnité ne peut être considérée comme la rémunération due en raison de la non-restitution du capital (cons. 4a) puisqu'elle découle précisément de la restitution prématurée du montant prêté suite à la résiliation du contrat. En revanche, il est exact que l'indemnité en question ne correspond pas à un amortissement de la dette principale puisqu'elle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 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 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 33 al. 1 let. a LIFD , 9 al. 2 let. a LHID et 36 al. 1 let. a LCdir et qu'elle n'est dès lors pas déductible ( Richner/Frei/Kaufmann , Handkommentar zum DBG, Zürich 2003, art. 33 no 15; Zweifel/Athanas , Kommentar zum schweizerischen Steuerrecht I/2a,b , 2 ème éd., Bâle 2008, art. 33 no 9a; Locher , Kommentar zum DBG, art. 33 no 3; VGer LU 17.02.1998, StE 1998 B27.2 N 20).</w:t>
      </w:r>
    </w:p>
    <w:p>
      <w:r>
        <w:rPr>
          <w:b/>
        </w:rPr>
        <w:t>E. 4</w:t>
      </w:r>
    </w:p>
    <w:p>
      <w:r>
        <w:t>Mal fondé, le recours doit être rejeté. Vu l'issue du litige, les frais de la cause doivent être mis à la charge de la recourante qui succombe et il n'y a pas lieu à l'octroi de dépens.</w:t>
      </w:r>
    </w:p>
    <w:p>
      <w:r>
        <w:rPr>
          <w:b/>
        </w:rPr>
        <w:t>E. 23</w:t>
      </w:r>
    </w:p>
    <w:p>
      <w:r>
        <w:t>et 24LCdir, augmenté d'un montant de 50'000 francs sont déductibles du revenu.</w:t>
      </w:r>
    </w:p>
    <w:p>
      <w:r>
        <w:t>3.a) Les intérêts passifs peuvent être déduits du revenu brut s'ils sont échus et exigibles dans la période de calcul indépendamment du fait qu'ils soient effectivement payés ou non, sauf lorsqu'il existe de sérieux doutes quant à leur paiement futur (Locher, Kommentar zum DBG, Bâle 2001, art. 33 no 4).</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35;Yersin/Noël, Commentaire romand LIFD, Bâle 2008, art. 33 no 7). L'intérêt peut être dû périodiquement ou non, et fixé en pourcentage constant ou variable (indexé) du capital (Locher, Kommentar, art. 33 no 19). Les intérêts de retard et les intérêts moratoires sont des intérêts déductibles (Locher, Kommentar, art. 33 no 3;Yersin/Noël,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36;Oberson,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du07.05.2002 [2A.148/2002]).</w:t>
      </w:r>
    </w:p>
    <w:p>
      <w:r>
        <w:t>Le Tribunal fédéral a en outre précisé que la notion d'"intérêts privés" prévue à l'art.33 al. 1 let. a LIFD, respectivement à l'art.9 al. 2 let. a LHID, doit être interprétée sous l'angle économique. La forme, la désignation et le moment du versement des intérêts importent peu (arrêt du TF du19.11.2008 [2C_393/2008]c.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w:t>
      </w:r>
    </w:p>
    <w:p>
      <w:r>
        <w:t>b) En l'espèce, le litige porte sur la question de savoir si l'"indemnité de rupture" résultant de la résiliation anticipée d'un contrat hypothécaire peut être admise comme déduction générale du revenu au titre d'intérêts passifs au sens des articles33 al. 1 let. a LIFD,9 al. 2 let. a LHIDet36 al. 1 let. a LCdir.</w:t>
      </w:r>
    </w:p>
    <w:p>
      <w:r>
        <w:t>Selon la recourante, l'indemnité litigieuse est la rémunération du capital prêté par l'assurance. Cet argument ne saurait être suivi dans la mesure où les intérêts passifs résultant de la rémunération du montant prêté ont déjà été facturés séparément et déduits du revenu à hauteur de 7'995.85 francs pour l'année 2009. Par ailleurs, ladite indemnité ne peut être considérée comme la rémunération due en raison de la non-restitution du capital (cons. 4a) puisqu'elle découle précisément de la restitution prématurée du montant prêté suite à la résiliation du contrat. En revanche, il est exact que l'indemnité en question ne correspond pas à un amortissement de la dette principale puisqu'elle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w:t>
      </w:r>
    </w:p>
    <w:p>
      <w:r>
        <w:t>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w:t>
      </w:r>
    </w:p>
    <w:p>
      <w:r>
        <w:t>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articles33 al. 1 let. a LIFD,9 al. 2 let. a LHIDet36 al. 1 let. a LCdiret qu'elle n'est dès lors pas déductible (Richner/Frei/Kaufmann, Handkommentar zum DBG, Zürich 2003, art. 33 no 15;Zweifel/Athanas, Kommentarzum schweizerischen Steuerrecht I/2a,b, 2èmeéd.,Bâle 2008, art. 33 no 9a;Locher,Kommentar zum DBG,art. 33 no 3; VGer LU 17.02.1998, StE 1998 B27.2 N 20).</w:t>
      </w:r>
    </w:p>
    <w:p>
      <w:r>
        <w:t>4.Mal fondé, le recours doit être rejeté. Vu l'issue du litige, les frais de la cause doivent être mis à la charge de la recourante qui succombe et il n'y a pas lieu à l'octroi de dépens.</w:t>
      </w:r>
    </w:p>
    <w:p>
      <w:r>
        <w:t>Par ces motifs,la Cour de droit public</w:t>
      </w:r>
    </w:p>
    <w:p>
      <w:r>
        <w:t>1.Rejette le recours.</w:t>
      </w:r>
    </w:p>
    <w:p>
      <w:r>
        <w:t>2.Met à la charge de la recourante un émolument de décision de 700 francs et des débours de 70 francs, montants compensés par son avance de frais.</w:t>
      </w:r>
    </w:p>
    <w:p>
      <w:r>
        <w:t>3.Dit qu'il n'est pas alloué de dépens.</w:t>
      </w:r>
    </w:p>
    <w:p>
      <w:r>
        <w:t>Neuchâtel, le 17 août 2011</w:t>
      </w:r>
    </w:p>
    <w:p>
      <w:r>
        <w:t>AU NOM DE LA COUR DE DROIT PUBLIC</w:t>
      </w:r>
    </w:p>
    <w:p>
      <w:r>
        <w:t>Le greffier</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w:t>
      </w:r>
    </w:p>
    <w:p>
      <w:r>
        <w:t>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global de:</w:t>
      </w:r>
    </w:p>
    <w:p>
      <w:r>
        <w:t>3200 francs6pour les personnes mariées vivant en ménage commun,</w:t>
      </w:r>
    </w:p>
    <w:p>
      <w:r>
        <w:t>1600 francs7pour les autres contribuables;</w:t>
      </w:r>
    </w:p>
    <w:p>
      <w:r>
        <w:t>ces montants sont augmentés de moitié pour les contribuables qui ne versent pas de cotisations selon les let. d et e.</w:t>
      </w:r>
    </w:p>
    <w:p>
      <w:r>
        <w:t>Ils sont augmentés de 600 francs8pour chaque enfant ou personne nécessiteuse pour lesquels le contribuable peut faire valoir la déduction prévue à lart. 35, al. 1, let. a ou b;</w:t>
      </w:r>
    </w:p>
    <w:p>
      <w:r>
        <w:t>h.9</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hbis.10</w:t>
      </w:r>
    </w:p>
    <w:p>
      <w:r>
        <w:t>les frais liés au handicap du contribuable ou dune personne à lentretien de laquelle il subvient lorsque le contribuable ou cette personne est handicapé au sens de la loi du 13 décembre 2002 sur légalité pour les handicapés11et que le contribuable supporte lui-même les frais;</w:t>
      </w:r>
    </w:p>
    <w:p>
      <w:r>
        <w:t>i.12</w:t>
      </w:r>
    </w:p>
    <w:p>
      <w:r>
        <w:t>les cotisations et les versements à concurrence dun montant de 10 000 francs en faveur dun parti politique, à lune des conditions suivantes:</w:t>
      </w:r>
    </w:p>
    <w:p>
      <w:r>
        <w:t>1.</w:t>
      </w:r>
    </w:p>
    <w:p>
      <w:r>
        <w:t>être inscrit au registre des partis conformément à lart. 76ade la loi fédérale du 17 décembre 1976 sur les droits politiques13,</w:t>
      </w:r>
    </w:p>
    <w:p>
      <w:r>
        <w:t>2.</w:t>
      </w:r>
    </w:p>
    <w:p>
      <w:r>
        <w:t>être représenté dans un parlement cantonal,</w:t>
      </w:r>
    </w:p>
    <w:p>
      <w:r>
        <w:t>3.</w:t>
      </w:r>
    </w:p>
    <w:p>
      <w:r>
        <w:t>avoir obtenu au moins 3 % des voix lors des dernières élections au parlement dun canton.</w:t>
      </w:r>
    </w:p>
    <w:p>
      <w:r>
        <w:t>2Lorsque les époux vivent en ménage commun et obtiennent chacun un revenu de leur activité lucrative, 50 % du revenu le moins élevé sont déduits, mais au moins 7300 francs et au plus 12 000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le ch. I 1 de la LF du 12 juin 2009 sur la déductibilité des versements en faveur de partis politiques, en vigueur depuis le 1erjanv. 2011 (RO2010449;FF200868236845).13RS161.114Nouvelle teneur selon lart. 3 al. 2 de lO du DFF du 28 sept. 2010 sur la progression à froid, en vigueur depuis le 1erjanv. 2011 (RO20104483).15Nouvelle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en vigueur depuis le 1erjanv. 2011 (RO2010455;FF20094237).</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w:t>
      </w:r>
    </w:p>
    <w:p>
      <w:r>
        <w:t>les intérêts passifs privés à concurrence du rendement imposable de la fortune au sens des art. 7 et 7a, augmenté dun montant de 50 000 francs;</w:t>
      </w:r>
    </w:p>
    <w:p>
      <w:r>
        <w:t>b.2</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jusquà concurrence dun montant déterminé;</w:t>
      </w:r>
    </w:p>
    <w:p>
      <w:r>
        <w:t>f.</w:t>
      </w:r>
    </w:p>
    <w:p>
      <w:r>
        <w:t>les primes et cotisations versées en vertu de la réglementation sur les allocations pour perte de gain et des dispositions sur lassurance-chômage et lassurance-accidents obligatoire;</w:t>
      </w:r>
    </w:p>
    <w:p>
      <w:r>
        <w:t>g.</w:t>
      </w:r>
    </w:p>
    <w:p>
      <w:r>
        <w:t>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w:t>
      </w:r>
    </w:p>
    <w:p>
      <w:r>
        <w:t>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w:t>
      </w:r>
    </w:p>
    <w:p>
      <w:r>
        <w:t>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w:t>
      </w:r>
    </w:p>
    <w:p>
      <w:r>
        <w:t>les cotisations et les versements à concurrence dun montant déterminé par le droit cantonal en faveur dun parti politique, à lune des conditions suivantes:</w:t>
      </w:r>
    </w:p>
    <w:p>
      <w:r>
        <w:t>1.</w:t>
      </w:r>
    </w:p>
    <w:p>
      <w:r>
        <w:t>être inscrit au registre des partis conformément à lart. 76ade la loi fédérale du 17 décembre 1976 sur les droits politiques9,</w:t>
      </w:r>
    </w:p>
    <w:p>
      <w:r>
        <w:t>2.</w:t>
      </w:r>
    </w:p>
    <w:p>
      <w:r>
        <w:t>être représenté dans un parlement cantonal,</w:t>
      </w:r>
    </w:p>
    <w:p>
      <w:r>
        <w:t>3.</w:t>
      </w:r>
    </w:p>
    <w:p>
      <w:r>
        <w:t>avoir obtenu au moins 3 % des voix lors des dernières élections au parlement dun canton;</w:t>
      </w:r>
    </w:p>
    <w:p>
      <w:r>
        <w:t>m.10</w:t>
      </w:r>
    </w:p>
    <w:p>
      <w:r>
        <w:t>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suivante:11</w:t>
      </w:r>
    </w:p>
    <w:p>
      <w:r>
        <w:t>a.</w:t>
      </w:r>
    </w:p>
    <w:p>
      <w:r>
        <w:t>le Département fédéral des finances détermine en collaboration avec les cantons dans quelle mesure les investissements destinés à économiser lénergie et à ménager lenvironnement peuvent être assimilés à des frais dentretien;</w:t>
      </w:r>
    </w:p>
    <w:p>
      <w:r>
        <w:t>b.</w:t>
      </w:r>
    </w:p>
    <w:p>
      <w:r>
        <w:t>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loi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loi du 13 déc. 2002 sur légalité pour les handicapés, en vigueur depuis le 1erjanv. 2005 (RO20034487;FF20011605).5Introduite par le ch. 3 de lannexe à la loi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Commission de rédaction de lAss. féd. (art. 58, al. 1, LParl  RS HYPERLINK "http://www.bk.admin.ch/ch/f/rs/c171_10.html" ).11Nouvelle teneur selon le ch. I 2 de la LF du 3 oct. 2008 sur le traitement fiscal des frais de remise en état des immeubles, en vigueur depuis le 1erjanv. 2010 (RO20091515;FF200775017517).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