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CDP.2011.288 vom 21. Februar 2012</w:t>
      </w:r>
    </w:p>
    <w:p>
      <w:r>
        <w:t>NE Tribunal cantonal, 2012-02-21, FR</w:t>
      </w:r>
    </w:p>
    <w:p>
      <w:r>
        <w:rPr>
          <w:b/>
        </w:rPr>
        <w:t xml:space="preserve">Quelle: </w:t>
      </w:r>
      <w:r>
        <w:t>https://mcp.opencaselaw.ch/entscheid/ne_gerichte_CDP.2011.288</w:t>
      </w:r>
    </w:p>
    <w:p>
      <w:r>
        <w:t>FR: NE_GERICHTE CDP.2011.288 du 21 février 2012</w:t>
      </w:r>
    </w:p>
    <w:p>
      <w:r>
        <w:t>IT: NE_GERICHTE CDP.2011.288 del 21 febbraio 2012</w:t>
      </w:r>
    </w:p>
    <w:p>
      <w:pPr>
        <w:pStyle w:val="Heading2"/>
      </w:pPr>
      <w:r>
        <w:t>Erwägungen</w:t>
      </w:r>
    </w:p>
    <w:p>
      <w:r>
        <w:rPr>
          <w:b/>
        </w:rPr>
        <w:t>E. 1</w:t>
      </w:r>
    </w:p>
    <w:p>
      <w:r>
        <w:t>LIFD,7 al. 1 LHID, 19 al. 1LCdir). Sont imposables, au titre du produit de l'activité lucrative dépendante,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(art.17 al. 1 LIFD,7 al. 1 LHID, 20LCdir). Sont exonérés de l'impôt, les subsides provenant de fonds publics ou privés (art.24 let. d LIFD,7 al. 4 let. f LHID, 27 let. dLCdir). On entend par subsides des prestations gratuites aux personnes se trouvant dans le besoin. L'exonération n'est ainsi applicable que si le bénéficiaire se trouve dans une situation de gêne (besoin, « Bedürftigkeit »), que l'entité de droit public ou privé qui verse les prestations y procède dans le but de venir en aide au bénéficiaire (motif de bienfaisance ou d'assistance, « Unterstützung ») et enfin que le versement a un caractère désintéressé et non onéreux, autrement dit en l'absence de contre-prestation exigée de la part du bénéficiaire (gratuité, « Unentgeltlichkeit ») (arrêt du TF du09.03.2011 [2C_673/2010]cons. 4.3). Les bourses d'études accordées au contribuable de condition modeste sont traitées comme des prestations de soutien exonérées de l'impôt (Noël, Jaques, Commentaire romand de l'impôt fédéral direct, 2008, n° 27-28, p. 428;Locher, Kommentar zum DBG, 2001, n° 35 ad art. 24 LIFD). Ainsi, bénéficient de l'exonération de l'article24 let. d LIFDles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l'article24 let. d LIFD, étant donné que leurs bénéficiaires  doivent en contrepartie réaliser l'étude ou la recherche pour laquelle ils ont sollicité des fonds ou, dans le cas des prix, ont produit un ouvrage dont la récompense décernée constitue une forme de rémunération a posteriori (Noël, Jaques,op. cit., n° 28, p. 428; arrêts du TF du09.03.2011 [2C_673/2010]cons. 4.2 et du28.04.2008 [2C_715/2007]cons. 2 traduit au RDAF 2008 II 364). Comme l'a relevé le Tribunal fédéral dans l'arrêt du 28 avril 2008 précité, la Circulaire n° 8  de l'Administration fédérale des contributions concernant les subsides du FNS, du 25 février 1971, toujours applicable, distingue notamment les subsides personnels qui sont imposables comme revenu dans la mesure où ils constituent des salaires, d'une part, et les subsides de relève (bourses), qui, eux, ne le sont pas. Il explique la différence entre ces deux types de subsides de la manière suivante :</w:t>
      </w:r>
    </w:p>
    <w:p>
      <w:r>
        <w:t>« La différence de régime applicable aux bourses de relève, d'une part, et aux subsides personnels pour chercheurs avancés, d'autre part, résulte du règlement des subsides [relatif aux octrois de subsides du FNS]. Bénéficient d'une bourse de relève les personnes qualifiées, âgées dans la règle de moins de 33 ans, qui veulent terminer leur thèse ou leur diplôme postgrade. Ils sont au début de leur carrière professionnelle, ne disposent en général pas de revenus et les montants qui leur sont alloués servent essentiellement à couvrir leurs dépenses d'entretien plutôt peu élevées. En pareille hypothèse, il s'agit bien de bourses au sens propre du terme, qui peuvent être qualifiées de subsides provenant de fonds publics. En revanche, les subsides personnels versés aux chercheurs avancés, en général plus âgés, qui disposent d'une expérience professionnelle et de meilleure compétences scientifiques, poursuivent un autre but. Ils ont pour but d'encourager les candidats appropriés à la carrière académique. C'est pourquoi le montant des subsides personnels versés par le FNS à cette catégorie de personnes dépasse celui des bourses de relève, mais reste encore en deçà du revenu qu'une personne disposant d'une telle qualification professionnelle pourrait obtenir dans un poste correspondant à cette qualification. »</w:t>
      </w:r>
    </w:p>
    <w:p>
      <w:r>
        <w:t>b)Dans la mesure où les dispositions fédérales et cantonales précitées ont le même contenu  hormis de légères différences rédactionnelles  et où les règles cantonales doivent, selon la jurisprudence constante du Tribunal administratif et de la Cour de droit public, être interprétées en fonction du droit fédéral, non seulement lorsquelles ont la même teneur que celui-ci (RJN 1986, p. 165) mais également en raison de lentrée en vigueur de la LHID au 1erjanvier 1993, qui contient des dispositions topiques identiques à celles de la LIFD et de laLCdir, lexamen de la question litigieuse peut intervenir de manière conjointe à limpôt fédéral direct et à limpôt direct cantonal et communal (v. notamment arrêt de la CDP du05.09.2011 [CDP.2010.362]cons. 3).</w:t>
      </w:r>
    </w:p>
    <w:p>
      <w:r>
        <w:t>3.Il s'agit en l'espèce d'examiner si le subside octroyé par l'ISR satisfait aux conditions de besoin, d'assistance et de gratuité dégagées par la jurisprudence, afin de déterminer s'il peut être exonéré de l'impôt.</w:t>
      </w:r>
    </w:p>
    <w:p>
      <w:r>
        <w:t>a) La recourante admet bénéficier d'un subside personnel pour chercheurs avancés octroyé pour 24 mois, d'un montant total de 121'000.- francs, soit 60'500.- francs par année. Conformément à la jurisprudence du Tribunal fédéral exposée ci-dessus, ce type de subsides ne constitue pas une bourse de relève, mais a pour but d'encourager les candidats à la carrière académique (arrêt du TF du28.04.2008 [2C_715/2007]cons. 2). Selon le règlement du FNS relatif aux octrois de subsides (ci-après: le règlement des subsides), du 14 décembre 2007, qui distingue cinq catégories d'encouragements différentes, il s'agit en effet d'un subside visant à l'encouragement de personnes (art. 2), ayant pour but de promouvoir la carrière scientifique des scientifiques, telles que les bourses de recherche et les programmes d'encouragement de la relève scientifique et académique (art. 4). Le montant de ce subside dit personnel est déterminé selon le barème des bourses du FNS, qui les fixe en fonction du pays où la recherche est effectuée, de la qualité du chercheur (débutant ou avancé) ainsi que de son état civil (célibataire ou marié/ménage commun), des suppléments étant prévus en cas d'enfants à charge. La situation financière à proprement parler des requérants n'est en revanche pas un critère (arrêt du TF du28.04.2008 [2C_715/2007]cons. 2.2). Le dossier ne contient d'ailleurs aucun élément sur la situation financière de la recourante et celle-ci n'a jamais allégué se trouver dans le besoin. En outre, même si le montant alloué pour les subsides personnels pour chercheurs avancés est inférieur à celui que la recourante aurait pu toucher en tant que post-doctorante et qui s'élèverait à 87'356.10 pour l'année 2010, on ne saurait y voir la preuve du caractère d'assistance exigée par la jurisprudence. Comme rappelé ci-dessus, le Tribunal fédéral a nié ce caractère tout en admettant que le montant des subsides personnels puisse être en deçà du revenu qu'une personne disposant d'une telle qualification professionnelle pourrait obtenir dans un poste correspondant à cette qualification. Les conditions du besoin et d'assistance ne sont dès lors pas réalisées.</w:t>
      </w:r>
    </w:p>
    <w:p>
      <w:r>
        <w:t>b) La recourante considère en outre que la bourse litigieuse lui a été octroyée à titre gratuit, dans la mesure où la seule obligation qui lui est faite est de remettre un simple rapport informatif ayant le caractère d'un compte-rendu de type administratif qui ne peut être assimilé à un travail scientifique, de sorte qu'aucune véritable contre-prestation ne lui est demandée. On ne saurait davantage suivre ce raisonnement.</w:t>
      </w:r>
    </w:p>
    <w:p>
      <w:r>
        <w:t>Selon le règlement des subsides, est habilité en règle générale à déposer une requête en vue d'obtenir des subsides toute personne physique menant des recherches scientifiques en Suisse sans buts commerciaux (art. 8). L'examen des requêtes est en outre soumis à des critères sévères (art. 17) et 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w:t>
      </w:r>
    </w:p>
    <w:p>
      <w:r>
        <w:t>Comme l'a relevé le Tribunal fédéral, il existe ainsi bien un lien étroit entre la contribution financière et la prestation qui doit être délivrée, à savoir le travail de recherche scientifique (art. 32 al. 3 règlement des subsides), quand bien même le résultat ne demeure finalement pas auprès du FNS (arrêt du TF du28.04.2008 [2C_715/2007]cons. 2.3.4 précité). Les nombreuses autres obligations faites au bénéficiaire du subside font également partie de la contre-prestation attendue. Les rapports périodiques exigés à l'article 40 du règlement des subsides ne sont dès lors qu'un élément de la contre-prestation. Ces rapports ne constituent au demeurant pas qu'une simple formalité attendu qu'ils doivent comporter un résumé de 10 à 15 lignes des résultats obtenus et de leur signification, un résumé plus étoffé en 2 à 4 pages devant contenir certains éléments prédéfinis, ainsi qu'un rapport général à caractère plus administratif. Le FNS se réserve d'ailleurs le droit d'effectuer des contrôles sur place et de consulter les documents pertinents (art. 40 al. 3 règlement des subsides).</w:t>
      </w:r>
    </w:p>
    <w:p>
      <w:r>
        <w:t>Au vu de ce qui précède, c'est à juste titre que l'intimé a considéré que le subside personnel octroyé à la recourante ne satisfaisait pas aux critères admis par la jurisprudence et la doctrine pour admettre une exonération de l'impôt.</w:t>
      </w:r>
    </w:p>
    <w:p>
      <w:r>
        <w:t>4.La recourante fait ensuite valoir que les décisions attaquées violeraient les principes applicables en matière de changement de pratique, dans la mesure où il ne reposerait sur aucun motif sérieux et objectif et serait intervenu sans avertissement préalable.</w:t>
      </w:r>
    </w:p>
    <w:p>
      <w:r>
        <w:t>a) Selon la jurisprudence, pour être compatible avec les articles 8 et 9 Cst. féd.,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murs. Les motifs doivent être d'autant plus sérieux que la pratique suivie jusqu'ici est ancienne. A défaut, elle doit être maintenue (arrêt du TF du12.04.2010 [2C_523/2009];ATF 135 I 79cons. 3 p. 82;132 III 770cons. 4 p. 777;127 I 49cons. 3c p. 52;127 II 289cons. 3a p. 292 s. et les références citées). Une décision qui modifie une pratique administrative antérieure ne saurait être annulée pour le simple motif qu'elle intervient sans avertissement. En revanche, lorsqu'un changement de pratique porte une atteinte irrémédiable à un droit des particuliers en matière de procédure, le principe de la bonne foi commande que ceux-ci soient avertis à temps du changement de pratique (Bellanger, in: Les procédures en droit fiscal, publication OREF, 2005, p. 64 et 70;Grisel, Traité de droit administratif, tome I, 1984, p. 362;Knapp, Précis de droit administratif, 1982, p. 56;arrêt du TF du22.07.2002 [1P.115/2002]cons. 2.1; ATF106 Ia 88p. 92,101 Ia 369cons. 2; arrêt du TA du07.07.2008 [TA.2006.6]cons. 6a). Dans ce dernier arrêt, le Tribunal administratif a rappelé ces principes, tout en constatant que l'annonce du changement de pratique était intervenue avant l'entrée en force des taxations fiscales.</w:t>
      </w:r>
    </w:p>
    <w:p>
      <w:r>
        <w:t>b) En l'espèce, le changement de pratique dont l'intimé entend se prévaloir repose sur une application de la loi conforme à la jurisprudence et à la doctrine. Les arrêts récents rendus par le Tribunal fédéral en matière d'exonération de subsides ne pouvaient que conforter l'intimé dans cette voie et l'amener à abandonner sa pratique antérieure qui consistait à s'en tenir à la stricte dénomination des subsides pour déterminer s'ils étaient exonérés ou non de l'impôt. En cela, la pratique d'exonération était clairement contra legem et elle devait impérativement être modifiée. Contrairement à ce que soutient la recourante, il s'agit là de motifs sérieux et objectifs autorisant le changement de pratique. Conformément à la doctrine et à la jurisprudence rappelée ci-dessus, on ne saurait faire grief à l'intimé de ne pas avoir annoncé au préalable ce changement de pratique qu'il entend appliquer de manière générale à l'avenir, ce changement ne portant pas atteinte aux droits procéduraux de la recourante.</w:t>
      </w:r>
    </w:p>
    <w:p>
      <w:r>
        <w:t>5.La recourante ne saurait enfin davantage tirer argument du fait que le subside personnel qu'elle allègue avoir reçu précédemment du FNS aurait été exonéré d'impôt. Les limitations résultant de la loi en matière de rappel d'impôt (art. 151 al. 2 LIFD et 221 al. 2LCdir) n'empêchent en effet pas l'autorité de taxation de procéder à un réexamen de la situation du contribuable d'une période fiscale à l'autre (arrêt duTA du 07.07.2008précité, cons. 6a). Par ailleurs, le dossier ne renseigne pas sur les particularités du subside qui aurait été exonéré de l'impôt.</w:t>
      </w:r>
    </w:p>
    <w:p>
      <w:r>
        <w:t>6.Vu le principe de la légalité qui est prépondérant en droit fiscal et compte tenu des faits qui sont dûment établis dans la présente cause, la résolution du litige ne nécessite pas la tenue dune audience au sens de larticle 216 aLCdir.</w:t>
      </w:r>
    </w:p>
    <w:p>
      <w:r>
        <w:t>Le recours doit dès lors être rejeté.</w:t>
      </w:r>
    </w:p>
    <w:p>
      <w:r>
        <w:t>7.Les frais de procédure doivent être mis à la charge de la recourante qui succombe, en compensation de son avance (art. 47LPJA). Elle ne peut prétendre à l'allocation de dépens (art. 48LPJAa contrario).</w:t>
      </w:r>
    </w:p>
    <w:p>
      <w:r>
        <w:t>Par ces motifs,la Cour de droit public</w:t>
      </w:r>
    </w:p>
    <w:p>
      <w:r>
        <w:t>1.Rejette le recours.</w:t>
      </w:r>
    </w:p>
    <w:p>
      <w:r>
        <w:t>2.Met les frais de procédure à la charge de la recourante, par 770 francs, montant compensé par son avance.</w:t>
      </w:r>
    </w:p>
    <w:p>
      <w:r>
        <w:t>3.N'alloue pas de dépens.</w:t>
      </w:r>
    </w:p>
    <w:p>
      <w:r>
        <w:t>Neuchâtel, le 21 février 2012</w:t>
      </w:r>
    </w:p>
    <w:p>
      <w:r>
        <w:t>1Sont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w:t>
      </w:r>
    </w:p>
    <w:p>
      <w:r>
        <w:t>2Les versements de capitaux provenant dune institution de prévoyance en relation avec une activité dépendante et les versements de capitaux analogues versés par lemployeur sont imposables daprès les dispositions de lart. 38.</w:t>
      </w:r>
    </w:p>
    <w:p>
      <w:r>
        <w:t>Sont exonérés de limpôt:</w:t>
      </w:r>
    </w:p>
    <w:p>
      <w:r>
        <w:t>a.</w:t>
      </w:r>
    </w:p>
    <w:p>
      <w:r>
        <w:t>les dévolutions de fortune ensuite dune succession, dun legs, dune donation ou de la liquidation du régime matrimonial;</w:t>
      </w:r>
    </w:p>
    <w:p>
      <w:r>
        <w:t>b.</w:t>
      </w:r>
    </w:p>
    <w:p>
      <w:r>
        <w:t>les versements provenant dassurances de capitaux privées susceptibles de rachat, à lexception des polices de libre-passage. Lart. 20, al. 1, let. a, est réservé;</w:t>
      </w:r>
    </w:p>
    <w:p>
      <w:r>
        <w:t>c.</w:t>
      </w:r>
    </w:p>
    <w:p>
      <w:r>
        <w:t>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w:t>
      </w:r>
    </w:p>
    <w:p>
      <w:r>
        <w:t>d.</w:t>
      </w:r>
    </w:p>
    <w:p>
      <w:r>
        <w:t>les subsides provenant de fonds publics ou privés;</w:t>
      </w:r>
    </w:p>
    <w:p>
      <w:r>
        <w:t>e.</w:t>
      </w:r>
    </w:p>
    <w:p>
      <w:r>
        <w:t>les prestations versées en exécution dune obligation fondée sur le droit de la famille, à lexception des pensions alimentaires et des contributions dentretien mentionnées à lart. 23, let. f;</w:t>
      </w:r>
    </w:p>
    <w:p>
      <w:r>
        <w:t>f.1</w:t>
      </w:r>
    </w:p>
    <w:p>
      <w:r>
        <w:t>la solde du service militaire et lindemnité de fonction pour service de protection civile, ainsi que largent de poche des personnes astreintes au service civil;</w:t>
      </w:r>
    </w:p>
    <w:p>
      <w:r>
        <w:t>g.</w:t>
      </w:r>
    </w:p>
    <w:p>
      <w:r>
        <w:t>les versements à titre de réparation du tort moral;</w:t>
      </w:r>
    </w:p>
    <w:p>
      <w:r>
        <w:t>h.</w:t>
      </w:r>
    </w:p>
    <w:p>
      <w:r>
        <w:t>les revenus perçus en vertu de la législation fédérale sur les prestations complémentaires à lassurance-vieillesse, survivants et invalidité;</w:t>
      </w:r>
    </w:p>
    <w:p>
      <w:r>
        <w:t>i.2</w:t>
      </w:r>
    </w:p>
    <w:p>
      <w:r>
        <w:t>les gains provenant des jeux de hasard exploités dans les maisons de jeu au sens de la loi du 18 décembre 1998 sur les maisons de jeu3.</w:t>
      </w:r>
    </w:p>
    <w:p>
      <w:r>
        <w:t>1Nouvelle teneur selon le ch. 7 de lannexe à la LF du 6 oct. 1995 sur le service civil, en vigueur depuis le 1eroct. 1996 (RO19961445; FF1994III 1597).2Introduite par le ch. 2 de lannexe à la loi du 18 déc. 1998 sur les maisons de jeu, en vigueur depuis le 1eravril 2000 (RO2000677; FF1997III 137).3RS935.52</w:t>
      </w:r>
    </w:p>
    <w:p>
      <w:r>
        <w:t>1Limpôt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cantons peuvent atténuer la double imposition économique des sociétés et des détenteurs de participations.1</w:t>
      </w:r>
    </w:p>
    <w:p>
      <w:r>
        <w:t>1bisEn cas de vente de droits de participation, au sens de lart. 4ade la loi fédérale du 13 octobre 1965 sur limpôt anticipé2, à la société de capitaux ou à la société coopérative qui les a émis, le revenu de la fortune est considéré comme étant réalisé dans lannée pendant laquelle la créance dimpôt prend naissance (art. 12, al. 1 et 1bis, de la LF du 13 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l.10</w:t>
      </w:r>
    </w:p>
    <w:p>
      <w:r>
        <w:t>les gains provenant des jeux de hasard exploités dans les maisons de jeu au sens de la loi du 18 décembre 1998 sur les maisons de jeu11.</w:t>
      </w:r>
    </w:p>
    <w:p>
      <w:r>
        <w:t>1Phrase introduite par le ch. II 3 de la loi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loi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3 de lannexe à la loi du 18 déc. 1998 sur les maisons de jeu, en vigueur depuis le 1eravril 2000 (RO2000677; FF1997III 137).11RS935.52</w:t>
      </w:r>
    </w:p>
    <w:p>
      <w:r>
        <w:rPr>
          <w:b/>
        </w:rPr>
        <w:t>E. 2</w:t>
      </w:r>
    </w:p>
    <w:p>
      <w:r>
        <w:t>Le litige porte sur la question de savoir si la bourse de chercheuse allouée par l'ISR à la recourante pour 24 mois, versée en deux tranches de 60'500 francs, est imposable au titre de revenu provenant d'une activité lucrative dépendante principale ou si elle doit être exonérée de l'impôt au sens des articles 24 let. d LIDF et 27 let. d LCdir . Il n'est pas contesté que les bourses octroyées par l'ISR sont analogues à celles du FNS et que la réglementation relative aux secondes est entièrement applicable aux premières. a) Selon le principe général, l'impôt sur le revenu a pour objet tous les revenus du contribuable, qu'ils soient uniques ou périodiques, en espèces ou en nature, quelle qu'en soit l'origine (art. 16 al. 1 LIFD,</w:t>
      </w:r>
    </w:p>
    <w:p>
      <w:r>
        <w:rPr>
          <w:b/>
        </w:rPr>
        <w:t>E. 7</w:t>
      </w:r>
    </w:p>
    <w:p>
      <w:r>
        <w:t>Les frais de procédure doivent être mis à la charge de la recourante qui succombe, en compensation de son avance (art. 47 LPJA ). Elle ne peut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