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CDP.2010.12 vom 4. Dezember 2012</w:t>
      </w:r>
    </w:p>
    <w:p>
      <w:r>
        <w:t>NE Tribunal cantonal, 2012-12-04, FR</w:t>
      </w:r>
    </w:p>
    <w:p>
      <w:r>
        <w:rPr>
          <w:b/>
        </w:rPr>
        <w:t xml:space="preserve">Quelle: </w:t>
      </w:r>
      <w:r>
        <w:t>https://mcp.opencaselaw.ch/entscheid/ne_gerichte_CDP.2010.12</w:t>
      </w:r>
    </w:p>
    <w:p>
      <w:r>
        <w:t>FR: NE_GERICHTE CDP.2010.12 du 4 décembre 2012</w:t>
      </w:r>
    </w:p>
    <w:p>
      <w:r>
        <w:t>IT: NE_GERICHTE CDP.2010.12 del 4 dicembre 2012</w:t>
      </w:r>
    </w:p>
    <w:p>
      <w:pPr>
        <w:pStyle w:val="Heading2"/>
      </w:pPr>
      <w:r>
        <w:t>Erwägungen</w:t>
      </w:r>
    </w:p>
    <w:p>
      <w:r>
        <w:rPr>
          <w:b/>
        </w:rPr>
        <w:t>E. 1</w:t>
      </w:r>
    </w:p>
    <w:p>
      <w:r>
        <w:t>Interjeté dans les formes et délai légaux, le recours est recevable à ce titre. Depuis le 1 er janvier 2011, la Cour de droit public du Tribunal cantonal a succédé au Tribunal administratif et traite les causes qui avaient été déférées à cette dernière instance (art. 47, 83 OJN).</w:t>
      </w:r>
    </w:p>
    <w:p>
      <w:r>
        <w:rPr>
          <w:b/>
        </w:rPr>
        <w:t>E. 2</w:t>
      </w:r>
    </w:p>
    <w:p>
      <w:r>
        <w:t>Tout comme le Tribunal administratif avant elle, la Cour de droit public examine d'office les conditions formelles de validité et la régularité de la procédure administrative suivie devant les autorités précédentes ( RJN 1996, p. 245 cons. 2, p. 204 cons. 2a). Cet examen porte en particulier sur le point de savoir si c'est à juste titre que l'autorité inférieure est entrée en matière sur le litige dont elle était saisie (arrêt de la CDP du 29.12.2011 [CDP.2011.311] cons. 3). La qualité pour recourir de X. doit donc être examinée. Le recourant se fonde - après avoir interprété l'arrêté du 3 décembre 2008 comme réglant tant l'entrée que la sortie des véhicules depuis et sur la rue de [...] - sur l'article 3 LCR, en raison d'une situation qu'il considère dangereuse à cet endroit. a) Selon l'article 32 let. a de la loi sur la procédure et la juridiction administratives ( LPJA ), a qualité pour recourir toute personne, corporation et établissement de droit public ou commune touchés par la décision et ayant un intérêt digne de protection à ce qu'elle soit annulée ou modifiée. La jurisprudence relative à cette disposition reconnaît la qualité pour recourir à celui qui subit les conséquences de la décision attaquée dans une mesure et avec une intensité plus grandes que quiconque, sans que les normes invoquées doivent nécessairement être en relation avec les intérêts protégés. Ainsi, dans le domaine de l'aménagement du territoire par exemple, un voisin peut attaquer un projet de construction en invoquant des dispositions qui sont sans rapport avec la protection des voisins. Il lui suffit de démontrer l'existence d'un intérêt de fait important, économique, matériel ou idéal, résultant de sa situation par rapport à l'objet litigieux. Encore faut-il, cependant, que l'opposant fasse valoir la violation de dispositions du droit public, car le but de la procédure d'autorisation de construire consiste uniquement dans la vérification de la conformité du projet aux dispositions édictées par la collectivité publique en matière de droit des constructions (RJN 1989, p. 322 cons. 2 et les références citées). En outre et surtout afin d'éviter toute action populaire, le voisin n'est pas autorisé à fonder son recours sur des prescriptions protégeant exclusivement l'intérêt général, à moins qu'il ne justifie d'un intérêt privé particulièrement prépondérant à celui de tout autre citoyen (ATF 133 II 4[...] p. 458 cons. 1, 133 II 249 cons. 1.3.1). Tel pourra être le cas, notamment, de dispositions relatives à la protection de la nature et des sites, ainsi qu'à l'écoulement du trafic et à la sécurité de la circulation ( Schaer , Juridiction administrative neuchâteloise, commentaire ad art. 32 let. a LPJA, p. 140; arrêt non publié du TA du 29.09.2003 [TA.2002.353] cons. 2a ; Zen-Ruffinen/Guy-Ecabert , Aménagement du territoire, construction, expropriation, no 1659, p. 697 ; RJN 2002, p. 329 ss; 2001, p. 272 ss; 1993, p. 288; 1989, p. 324 et références citées ; RJN 1995, p. 266 , cons. 1b et les références citées). Lorsque de telles dispositions sont invoquées, la qualité pour s'opposer dépend de l'existence, dans le cas concret, d'un intérêt véritablement prépondérant par rapport à celui de tout un chacun à remettre en cause le projet attaqué ou, en d'autres termes, de l'existence d'un préjudice porté de manière immédiate à sa situation personnelle (RJN 2002, p.330). b) Selon l'article 3 al. 2 LCR, les cantons sont compétents pour interdire, restreindre ou régler la circulation sur certaines routes. Ils peuvent déléguer cette compétence aux communes sous réserve de recours à une autorité cantonale. L'article 2 de la loi d'introduction des prescriptions fédérales sur la circulation routière du 1 er octobre 1968 ( RSN 761.10 ) et l'article 1 de l'arrêté d'exécution ( RSN 761.100 ) contiennent une telle délégation. Selon l'article</w:t>
      </w:r>
    </w:p>
    <w:p>
      <w:r>
        <w:rPr>
          <w:b/>
        </w:rPr>
        <w:t>E. 3</w:t>
      </w:r>
    </w:p>
    <w:p>
      <w:r>
        <w:t>al. 4 LCR, tel qu'en vigueur depuis le 1erjanvier 2007, d'autres limitations ou prescriptions peuvent être édictées lorsqu'elles sont nécessaires pour protéger les habitants ou d'autres personnes touchées de manière comparable, notamment pour assurer la sécurité, faciliter ou régler lacirculationou pour satisfaire à dautres exigences imposées par les conditions locales.Pour de telles raisons, la circulation peut être restreinte et le parcage réglementé de façon spéciale, notamment dans les quartiers dhabitation. L'action populaire n'étant pas recevable, il convient d'examiner si le recourant subit bien un préjudice porté de manière immédiate à sa situation personnelle.</w:t>
      </w:r>
    </w:p>
    <w:p>
      <w:r>
        <w:t>c) Le recourant soutient que des considérations de sécurité au sens de l'article 3 LCR avaient présidé à l'adoption de l'arrêté du 14 avril 2008 et que "admettre la réglementation de l'arrêté du 3 décembre 2008 contredirait totalement l'impératif de sécurité qui s'impose à cet endroit". Il considère qu'"une exception à la sécurité n'est pas admissible si une situation locale commande des mesures pour garantir cette même sécurité". Ce faisant, il invoque des prescriptions protégeant exclusivement l'intérêt général, sans indiquer en quoi il disposerait lui-même d'un intérêt digne de protection à ce que la décision soit annulée ou se trouverait touché par la réglementation litigieuse plus que tout autre justiciable, en particulier les autres usagers des lieux. Un intérêt général à une correcte application du droit n'est pas suffisant (arrêt de la CDP du19.09.2012 [CDP.2010.418]cons. 2c; aussi arrêt du TF du14.05.2008 [1C_384/2007], cons. 3.4). Pour bénéficier de la qualité pour recourir, le recourant doit en effet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Il doit ainsi invoquer des dispositions de droit public susceptibles d'avoir une incidence sur sa situation de fait ou de droit (arrêt de la CDP du19.09.2012 [CDP.2010.418]cons. 2c). En l'occurrence, la qualité pour recourir du recourant doit être niée au regard de ces critères, faute pour lui d'avancer des arguments dont on déduirait qu'il pourrait se prévaloir d'un intérêt personnel se distinguant nettement de l'intérêt général  à la sécurité du trafic  des autres habitants de la commune ou des alentours et digne de protection au sens de l'article 32LPJA. En d'autres termes et pour reprendre la formulation jurisprudentielle, les critiques du recourant ne sont pas propres à démontrer l'existence d'une violation à son préjudice des dispositions légales (RJN 2002 p.331).</w:t>
      </w:r>
    </w:p>
    <w:p>
      <w:r>
        <w:t>Il suit de ce qui précède que le Département de la gestion du territoire a admis à tort la qualité pour recourir de X. contre l'arrêté du Conseil communal de [...] du 13 décembre 2008 et qu'il aurait dû déclarer le recours irrecevable  faute d'intérêt digne de protection au sens de l'article 32 let. aLPJA-, sans entrer en matière sur le fond. Etait en effet invoquée une absence de visibilité au niveau de l'accès, entraînant une situation dangereuse, argument tiré de manière générale de l'article 3 LCR. La Cour de droit public doit réformer d'office la décision querellée sur ce point. Le recours du 18 janvier 2010 doit quant à lui être rejeté.</w:t>
      </w:r>
    </w:p>
    <w:p>
      <w:r>
        <w:t>3.Le recours est rejeté, aux frais de son auteur qui n'a pas droit à l'allocation de dépens (art. 47 al. 1 et 48 al. 1 a contrario LPJA).</w:t>
      </w:r>
    </w:p>
    <w:p>
      <w:r>
        <w:t>Par ces motifs,la Cour de droit public</w:t>
      </w:r>
    </w:p>
    <w:p>
      <w:r>
        <w:t>1.Réforme d'office la décision du chef du Département de la gestion du territoire du 24 novembre 2009, dont le chiffre 1 est désormais libellé comme suit:</w:t>
      </w:r>
    </w:p>
    <w:p>
      <w:r>
        <w:t>"1. Déclare le recours irrecevable."</w:t>
      </w:r>
    </w:p>
    <w:p>
      <w:r>
        <w:t>2.Rejette le recours du 18 janvier 2010 devant la Cour de droit public.</w:t>
      </w:r>
    </w:p>
    <w:p>
      <w:r>
        <w:t>3.Met les frais de procédure par 770 francs à la charge du recourant, ce montant étant compensé par l'avance de frais opérée.</w:t>
      </w:r>
    </w:p>
    <w:p>
      <w:r>
        <w:t>4.N'alloue pas de dépens.</w:t>
      </w:r>
    </w:p>
    <w:p>
      <w:r>
        <w:t>Neuchâtel, le 4 décembre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