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CDP.2009.450 vom 8. Dezember 2011</w:t>
      </w:r>
    </w:p>
    <w:p>
      <w:r>
        <w:t>NE Tribunal cantonal, 2011-12-08, FR</w:t>
      </w:r>
    </w:p>
    <w:p>
      <w:r>
        <w:rPr>
          <w:b/>
        </w:rPr>
        <w:t xml:space="preserve">Quelle: </w:t>
      </w:r>
      <w:r>
        <w:t>https://mcp.opencaselaw.ch/entscheid/ne_gerichte_CDP.2009.450</w:t>
      </w:r>
    </w:p>
    <w:p>
      <w:r>
        <w:t>FR: NE_GERICHTE CDP.2009.450 du 8 décembre 2011</w:t>
      </w:r>
    </w:p>
    <w:p>
      <w:r>
        <w:t>IT: NE_GERICHTE CDP.2009.450 del 8 dicembre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1.5</w:t>
      </w:r>
    </w:p>
    <w:p>
      <w:r>
        <w:t>‰ sur 800'000 francs (1'200.00 francs) et 0.8 ‰ sur 5'306'000 francs (4'244.80 francs) est par ailleurs compatible avec le principe de l'équivalence. Certes, le Tribunal fédéral a retenu, s'agissant d'un tarif pour la vente de gré à gré d'actifs, que le fait de prélever un émolument de 2 ‰ sans aucun plafonnement pouvait aboutir à un rapport manifestement disproportionné avec la valeur objective de la prestation étatique, lorsque les frais pour la réalisation sont particulièrement modestes et que le produit de la réalisation est très élevé. Tel était le cas de l'émolument litigieux qui s'élevait à 204'587.80 francs, alors que la procédure de réalisation avait consisté en un ordre donné à une banque. Le Tribunal fédéral n'a toutefois pas jugé qu'un émolument en pour mille sans limite supérieure était en lui-même inconstitutionnel mais il a considéré qu'il devait être tenu compte du principe de l'équivalence dans des cas particuliers, notamment lorsque le produit de la vente est élevé, et, si nécessaire, réduire l'émolument résultant du calcul en pour mille (ATF 130 III 225 cons. 2.4-5, JT 2005 II, p. 6-7). En l'espèce, vu le barème dégressif de l'article</w:t>
      </w:r>
    </w:p>
    <w:p>
      <w:r>
        <w:rPr>
          <w:b/>
        </w:rPr>
        <w:t>E. 2</w:t>
      </w:r>
    </w:p>
    <w:p>
      <w:r>
        <w:t>Parmi les contributions publiques, la jurisprudence, suivant la doctrine, distingue entre les impôts, les contributions causales et les taxes d'orientation (ATF 135 I 130 cons. 2; Oberson , Droit fiscal suisse 3 ème éd., 2007, § 1 no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(arrêt du TF du 22.04.2008 [5A_55/2008] cons. 5.2). Les contributions doivent toutefois être établies selon des critères objectifs et s'abstenir de créer des différences qui ne seraient pas justifiées par des motifs pertinents (arrêt du TF du 29.07.2008 [2C_768/2007] cons. 3.2). En outre, la plupart des contributions causales – en particulier celles dépendant des coûts, à savoir celles qui servent à couvrir certaines dépenses de l'Etat, telles que les émoluments et les charges de préférence, pour lesquelles il n'existe aucune base légale formelle (suffisamment déterminée) ou pour lesquelles le législateur a exprimé clairement ou tacitement que la contribution qu'il doit fixer est dépendante des coûts – doivent respecter le principe de la couverture des frais. Selon ce principe, le produit global des contributions ne doit pas dépasser, ou seulement de très peu, l'ensemble des coûts engendrés par la subdivision concernée de l'administration (ATF 135 I 130 précité et les références; arrêt du TF du 25.06.2010 [2C_579/2009] cons.3), y compris, dans une mesure appropriée, les provisions, les amortissements et les réserves De telles réserves financières violent le principe de la couverture des coûts lorsqu'elles ne sont plus justifiées objectivement, c'est-à-dire lorsqu'elles excèdent les besoins futurs prévisibles estimés avec prudence (arrêt du TF du 29.07.2008 cité, cons. 3.2 et les références).</w:t>
      </w:r>
    </w:p>
    <w:p>
      <w:r>
        <w:rPr>
          <w:b/>
        </w:rPr>
        <w:t>E. 3</w:t>
      </w:r>
    </w:p>
    <w:p>
      <w:r>
        <w:t>al. 1 ). Le Conseil d'Etat est compétent pour arrêter les émoluments fixes (art. 4). Les inscriptions relatives au droit de propriété sont soumises aux émoluments ad valorem suivants : en cas de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il est perçu un émolument calculé sur la valeur de l'immeuble (émolument ad valorem), soit 1.5 ‰ jusqu'à 800'000 francs et 0.8 ‰ sur l'excédent; mais au minimum 50 francs (art. 9 al. 1 et 2 ). A défaut de prix de vente ou d'indication de valeur dans l'acte, le conservateur perçoit l'émolument en se fondant sur l'estimation cadastrale si la base de calcul prise en considération par le service des droits de mutation et du timbre pour la perception des lods n'est pas encore connue (art. 9 al. 5). En 2002, dans un rapport du Conseil d'Etat à l'appui d'une révision du tarif – qui avait comme objectif de relever le taux des émoluments ad valorem, ceux-ci ne couvrant plus les frais du registre foncier – , on peut lire ce qui suit : " Ces émoluments proportionnels ont le caractère de contribution mixte. Il s'agit à la fois d'un émolument administratif qui rémunère un service et un impôt indirect destiné à couvrir les dépenses générales de l'Etat. La jurisprudence et la doctrine précisent que cette contribution mixte se présente d'abord comme un émolument, mais, à l'occasion de sa perception, l'Etat prélève une contribution publique qui excède la valeur du service rendu, même conçu globalement." (...). L'augmentation proposée, dès lors qu'elle vise l'objectif de couverture des frais, nous paraît légitime." (BGC 2002-2003 II, p. 2050-2051). Le principe de la couverture des frais tendant précisément à éviter qu'un émolument ne devienne un impôt, il est antinomique de qualifier les émoluments ad valorem, perçus en application de l'article 9 du tarif, d'impôt mixte si ceux-ci poursuivent effectivement l'objectif de la couverture des frais.</w:t>
      </w:r>
    </w:p>
    <w:p>
      <w:r>
        <w:rPr>
          <w:b/>
        </w:rPr>
        <w:t>E. 4</w:t>
      </w:r>
    </w:p>
    <w:p>
      <w:r>
        <w:t>a) En l'espèce, il ressort des comptes de l'Etat de Neuchâtel (publiés sur le site officiel www.ne.ch) que les émoluments administratifs perçus par le Service et offices du registre foncier ont dépassé les charges totales de ce service de 437'284 francs en 2004, de 1'272'493 francs en 2005 et de 2'116'700 francs en 2006. En 2007, ce service et celui du cadastre et de la géomatique (anc. Service des mensurations cadastrales) ont été réunis sous l'appellation "Service géomatique et registre foncier", qui comprend la mensuration officielle, l'inspectorat du registre foncier ainsi que les deux offices du registre foncier du canton de Neuchâtel, et le système d'information du territoire neuchâtelois SITN (cf. Annuaire structurel de l'administration cantonale et du pouvoir judiciaire). D'après le principe de la couverture des frais, toutes les dépenses qui relèvent d'une branche administrative déterminée peuvent être couvertes au moyen des émoluments administratifs. Celle-ci est définie en premier lieu en fonction des tâches administratives objectives qui lui incombent, c'est-à-dire selon des critères fonctionnels (ATF 126 I 180 , JT 2002 I, p. 413 cons. 3b/cc). Dans la mesure où les émoluments que les cantons peuvent percevoir en application de l'article 954 CC portent tant sur les inscriptions au registre foncier que sur les travaux de mensuration qui s'y rattachent, il n'est pas saugrenu d'avoir regroupé au sein d'une même branche administrative tous les services qui fournissent des prestations se rapportant au même domaine. Cela étant dit, il résulte des comptes de l'Etat de Neuchâtel que les émoluments administratifs perçus par le Service géomatique et registre foncier en 2007, 2008, 2009 et 2010 n'ont pas suffi à couvrir ne serait-ce que les charges de personnel de ce service. Or, le principe de la couverture des frais en tant que limitation à la perception des émoluments ne doit pas être compris de manière étroite pour les émoluments du registre foncier. Ceux-ci doivent être calculés de telle manière que dans tous les cas, ils suffisent à couvrir amplement les dépenses (ATF 126 I 180 précité cons. 3b/cc in fine). Il s'ensuit que l'article</w:t>
      </w:r>
    </w:p>
    <w:p>
      <w:r>
        <w:rPr>
          <w:b/>
        </w:rPr>
        <w:t>E. 9</w:t>
      </w:r>
    </w:p>
    <w:p>
      <w:r>
        <w:t>al.2 du tarif , qui s'applique par ailleurs à la valeur des immeubles concernés, soit un critère objectif exempt de critiques, l'émolument ad valorem perçu représente moins de 1 ‰ de la valeur des droits de propriété inscrits au registre foncier dans l'intérêt des recourants. On ne saurait, dans ces circonstances, considérer que cet émolument a un caractère confiscatoire qui violerait la garantie de la propriété en portant une atteinte au noyau essentielle de celle-ci (arrêt du TF du 25.06.2010 [2C_579/2009] cons. 6.2). 5. Manifestement mal fondé, le recours doit être rejeté aux frais de ses auteurs (art. 47 al. 1 LPJA )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