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CDP.2009.275 vom 3. Juni 2013</w:t>
      </w:r>
    </w:p>
    <w:p>
      <w:r>
        <w:t>NE Tribunal cantonal, 2013-06-03, FR</w:t>
      </w:r>
    </w:p>
    <w:p>
      <w:r>
        <w:rPr>
          <w:b/>
        </w:rPr>
        <w:t xml:space="preserve">Quelle: </w:t>
      </w:r>
      <w:r>
        <w:t>https://mcp.opencaselaw.ch/entscheid/ne_gerichte_CDP.2009.275</w:t>
      </w:r>
    </w:p>
    <w:p>
      <w:r>
        <w:t>FR: NE_GERICHTE CDP.2009.275 du 3 juin 2013</w:t>
      </w:r>
    </w:p>
    <w:p>
      <w:r>
        <w:t>IT: NE_GERICHTE CDP.2009.275 del 3 giugno 2013</w:t>
      </w:r>
    </w:p>
    <w:p>
      <w:pPr>
        <w:pStyle w:val="Heading2"/>
      </w:pPr>
      <w:r>
        <w:t>Erwägungen</w:t>
      </w:r>
    </w:p>
    <w:p>
      <w:r>
        <w:rPr>
          <w:b/>
        </w:rPr>
        <w:t>E. 1</w:t>
      </w:r>
    </w:p>
    <w:p>
      <w:r>
        <w:t>La Cour de droit public du Tribunal cantonal a succédé au Tribunal administratif le 1 er janvier 2011 et traite les causes qui étaient en suspens à cette date devant ce dernier (art. 47, 83 OJN).</w:t>
      </w:r>
    </w:p>
    <w:p>
      <w:r>
        <w:rPr>
          <w:b/>
        </w:rPr>
        <w:t>E. 2</w:t>
      </w:r>
    </w:p>
    <w:p>
      <w:r>
        <w:t>La Cour de céans est compétente pour statuer dans la présente cause, s'agissant d'une action de droit administratif fondée sur la loi cantonale sur la responsabilité des collectivités publiques et de leurs agents ( LResp ; RSN 150.10) en vertu des articles 21 LResp et 58 LPJA . Il n’est pas contesté que le CPLN et ses agents (corps enseignant et éventuellement direction en l’espèce) tombent sous le coup de ces dispositions.</w:t>
      </w:r>
    </w:p>
    <w:p>
      <w:r>
        <w:rPr>
          <w:b/>
        </w:rPr>
        <w:t>E. 3</w:t>
      </w:r>
    </w:p>
    <w:p>
      <w:r>
        <w:t>a) La loi sur la responsabilité prévoit, sous le titre marginal "péremption", que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(art. 10). D'après l'article 11 al. 1, les prétentions de tiers contre la collectivité publique doivent être adressées par écrit au Département de la justice, de la sécurité et des finances, s'il s'agit de dommages résultant de l'activité d'agents de l'Etat (let. a), à l'organe exécutif des autres collectivités publiques, s'il s'agit de dommages résultant de l'activité d'agents rattachés à l'une d'elles (let. b). Selon l'alinéa 2 de cette disposition, si la collectivité publique conteste les prétentions ou si elle ne prend pas position dans les trois mois, le tiers lésé doit introduire action dans un délai de six mois sous peine de péremption. D'après l'alinéa 3, si la collectivité publique entre en pourparlers, le délai de six mois court dès sa dernière prise de position. b) Selon la jurisprudence relative à l'article 60 al. 1 CO – à laquelle il y a lieu de se référer (v. 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 ATF 136 III 322 cons. 4.1 ) ; le créancier n'est pas admis à différer sa demande jusqu'au moment où il connaît le montant absolument exact de son préjudice, car le dommage peut devoir être estimé selon l'article 42 al. 2 CO (arrêt du TF du 29.01.2007 [4P.294/2006] cons. 4.5; ATF 131 III 61 cons. 3.1.1, 111 II 55 cons. 3a; RJN 2000, p. 2 18 cons. 2b ). Au demeurant, le dommage est suffisamment défini lorsque le créancier détient assez d'éléments pour qu'il soit en mesure de l'apprécier. Vu la brièveté du délai de prescription d'un an, on ne saurait toutefois se montrer trop exigeant à ce sujet à l'égard du créancier; suivant les circonstances, il doit pouvoir disposer d'un certain temps pour estimer l'étendue définitive du dommage (ATF 111 II 55 cons. 3a et la jurisprudence citée). D'après le principe de l'unité du dommage, celui-ci doit être considéré comme un tout et non comme la somme de préjudices distincts. II en résulte que l 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 4; 108 Ib 97 cons. 1c). En particulier, la connaissance du dommage résultant d'une invalidité permanente suppose que, selon un expert, l'état de santé soit stabilisé sur le plan médical et que le taux de l'incapacité de travail (et non l’incapacité médico-théorique) soit fixé au moins approximativement; le lésé doit en outre savoir, sur la base des rapports médicaux, quelle peut être l'évolution de son état (arrêts du TF du 0 1.10.2008 [4A_289/2008] cons. 4, non publié in ATF 134 III 591 ; du 0 1.09.1999 [4C . 151/1999] cons. 2). Au demeurant, le délai de prescription part du moment où le lésé a effectivement connaissance du dommage, et non de celui où il aurait pu découvrir l'importance de sa créance en faisant preuve de l'attention commandée par les circonstances (ATF 111 II 55 cons. 3a ; arrêt du TF du 4.04.2011 [4A_647/2010] cons. 3.1 et les références citées). c) En l’espèce, le dommage allégué résulte d’une atteinte à la santé, causée selon le demandeur le 28 janvier 2008 certes, mais ses conséquences financières étaient très difficilement chiffrables sans indications sur l’avenir professionnel et économique du demandeur ni sur les interventions des assureurs sociaux. On relèvera par ailleurs que les suites médicales de l’accident se sont poursuivies bien après la fixation d’un taux d'atteinte à l'intégrité de 30 % en décembre 2008. Tant le demandeur que le défendeur semblent par ailleurs confondre, volontairement ou non, un taux d’atteinte à l’activité économique future et un taux d’atteinte médico-théorique tel qu'il semble avoir été fixé par le Dr A. dans son rapport du 9 juillet 2009, déterminant par exemple dans une assurance en capital ou le taux retenu par la CNA pour la détermination d’une IPAI en LAA. L’argument du défendeur tiré de la péremption des conclusions du demandeur excédant les montants retenus dans sa demande du 6 février 2009 est dès lors et quoi qu’il en soit mal fondé.</w:t>
      </w:r>
    </w:p>
    <w:p>
      <w:r>
        <w:rPr>
          <w:b/>
        </w:rPr>
        <w:t>E. 4</w:t>
      </w:r>
    </w:p>
    <w:p>
      <w:r>
        <w:t>cons. 2; Knapp , Précis de droit administratif, 4 e éd. nos 2428-2446; ATF 107 Ib 160 ). Selon l’article 6 LResp , aux conditions prévues par le droit des obligations en matière d'actes illicites, une indemnité équitable peut en outre être allouée, en cas de faute de l'agent, à titre de réparation morale. Enfin, la collectivité ne répond du dommage résultant des actes licites de ses agents que si la loi le prévoit ou si l'équité l'exige (art. 7 LResp). b) L'acte illicite se définit comme un acte objectivement contraire à une règle du droit écrit ou non écrit, dont le but est de protéger le bien juridique lésé (ATF 124 III 297 cons. 5b, 123 III 306 cons. 4a, 119 II 127 cons. 3). Comme le relève le demandeur, le critère de l’illicéité ne se discute pas en présence de lésions corporelles, en l’occurrence assez graves. Mais comme le relève aussi et à son tour le défendeur, encore faut-il que cette illicéité et le dommage en découlant résultent d’un acte, comportement ou omission d’un de ses agents, en relation de causalité avec eux. La jurisprudence a considéré comme illicite la violation de principes généraux du droit (cf. ATF 118 Ib 473 cons. 2b, 116 Ib 193 cons. 2a, p. 195). Une omission peut aussi,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aient été violées (cf. ATF 126 II 111 , p. 113 cons. 2a/aa, 123 II 577 cons. 4d/ff, p. 583; 1; voir également pour des activités extra-scolaires, l’arrêt du Tribunal fédéral du 15.12.1987, produit par le défendeur) . c) Un lien de causalité naturelle est admis lorsque le comportement dommageable se présente comme la condition nécessaire (condition sine qua non) du dommage invoqué (ATF 132 III 715 cons. 2.2, 128 III 180 cons. 2d, et les références), en d’autres termes lorsqu’il n’est pas possible de faire abstraction dudit comportement sans que le résultat disparaisse également, respectivement sans que l’on puisse considérer qu’il ait pu se produire de la même manière ou au même moment. La causalité naturelle ne suppose pas que le fait dommageable soit la cause unique ou directe d’une atteinte à la santé; il suffit que cet événement ait porté atteinte, avec d’autres facteurs, à l’intégrité corporelle ou mentale de la personne lésée, en ce sens que sans lui cette atteinte n’aurait pas pu se produire (ATF 129 V 177 cons. 3.1, et les références). Lorsque l’existence d’un lien de causalité naturelle ne peut pas être démontrée avec la précision scientifique souhaitable, elle doit être établie au degré de la vraisemblance prépondérante (ATF 107 II 269 cons. 1b, 128 III 271 cons. 2b/aa, et les références). Elle sera niée lorsque, compte tenu des circonstances particulières du cas, d’autres causes que celles qui sont invoquées doivent être sérieusement prises en considération, voire paraissent l’emporter sur celles-ci (ATF 107 II 269 cons. 1b; cf. aussi ATF 130 III 321 cons. 3.3; arrêt du TF du 22.03.2011 [4A_444/2010 ]). Lorsque le manquement reproché à un agent de la collectivité publique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 ces événements (ATF 132 III 305 cons. 3.5, p. 311, 115 II 440 cons. 6a, p. 449; SJ 2002 I 253 cons. 4, p. 259; ATA non publié du 29.03.2006 [TA.2001.255] cons. 4b).</w:t>
      </w:r>
    </w:p>
    <w:p>
      <w:r>
        <w:rPr>
          <w:b/>
        </w:rPr>
        <w:t>E. 5</w:t>
      </w:r>
    </w:p>
    <w:p>
      <w:r>
        <w:t>C e n’est donc pas en soi le très malheureux coup de crosse au visage du demandeur, infligé par un tiers mais de manière involontaire selon tous les témoins, qui peut en l’espèce fonder à lui-seul une responsabilité de la collectivité. Le demandeur soutient cependant que ce coup de crosse au visage et les lésions qui en ont découlé, sont imputables à un défaut d’instructions des règles de jeux et un défaut de surveillance de l’enseignant. L’instruction approfondie de la cause a cependant démontré que les six élèves entendus étaient pleinement au courant des règles de précaution minimale applicables (pas de canne plus haute que les genoux, - éventuellement les hanches, selon un ou deux élèves - ). Certains élèves divergent sur le point de savoir si ces règles ont été encore rappelées le jour même de l’accident, ou antérieurement dans d’autres parties de unihockey déjà pratiquées par cette classe durant l’année scolaire en cause et durant la précédente, mais tous en avaient connaissance et même l’élève la moins motivée par les leçons de sport s’en rappelait. Les qualifications éducatives et sportives de l’enseignant, son expérience et sa conscience professionnelle, toutes largement documentées ou attestées par témoins ne sont par ailleurs pas remises en cause ici.</w:t>
      </w:r>
    </w:p>
    <w:p>
      <w:r>
        <w:rPr>
          <w:b/>
        </w:rPr>
        <w:t>E. 6</w:t>
      </w:r>
    </w:p>
    <w:p>
      <w:r>
        <w:t>Il reste dès lors uniquement à examiner si l’accident survenu peut être imputable à un défaut d ’organisation, un programme sportif inadapté, une surveillance insuffisante ou un non-respect de normes de sécurité, auxquels l’enseignant n’aurait pas été attentif, selon ce que lui reproche le demandeur . Au regard de l’abondante documentation sportive ou scolaire pour les activités sportives, produite par les deux parties d’ailleurs, l’Autorité de céans peut en tous les cas retenir ce qui suit. Dans une classe de 18 élèves, comme la 3GC à l’époque, pratiquement à parité égale entre filles et garçons, il n'y a rien d’incongru à organiser une activité avec quatre équipes réduites permettant la participation de tous les élèves. Eviter les équipes mixtes où certaines élèves peu motivées se trouvent rapidement exclues du jeu n’a rien non plus d’incompréhensible. Exclure des affrontements "équipe féminine contre équipe masculine", qui peuvent rapidement tourner au chaos sans même devoir s’en référer à certaines séquences télévisées semble faire preuve d’une sagesse certaine. Le choix d’un sport d’équipe comme le unihockey ne semble pas non plus prêter flanc à la critique dans la mesure où il s’agit d’un sport d’équipe largement pratiqué en milieu scolaire, réputé comme non agressif et sans danger pour autant que des normes minimales de jeu soient respectées, seul le gardien de l’équipe nécessitant un équipement de sécurité particulier. Il est au surplus constant qu’avec quatre équipes en jeu, l’enseignant ne peut à la fois surveiller les équipes masculines sur un terrain et féminines sur l’autre. Lors de l’accident ici en cause, l’enseignant arbitrait et surveillait les deux équipes féminines, ce d’autant que celles-ci ont besoin, selon les enseignants concernés par cette branche, de plus de motivation dans les activités sportives que leurs collègues masculins. Ici aussi on voit mal ce qu’il y aurait à lui reprocher. Critiquer au surplus le fait que l’on laisse les deux équipes masculines s’auto-arbitrer méconnaît manifestement un principe de base de n’importe quelles équipes de sport ne serait-ce que de quartier, avant même toute intégration scolaire, traduit et préconisé ensuite dans des normes éducatives scolaires de plus en plus pointues. C’est négliger aussi que l’enseignant en cause ne se trouvait pas en face d’une classe agressive et bagarreuse, mais bien d’une classe de jeunes adultes réputée depuis deux ans comme calme et sans animosité particulière (il n’y en avait pas plus entre les deux joueurs en cause) comme tous les témoins l’ont relevé. En dernier lieu et il s’agit peut-être là de la considération finale la plus pertinente en l’espèce, une fois admis que les règles de jeu étaient connues et auraient donc dû être respectées par tous, on ne comprend pas comment, selon le demandeur, la présence, comme arbitre, de son enseignant sur le bord du terrain de jeu où il évoluait aurait pu en quoi que ce soit éviter le dramatique accident dont il a été la victime.</w:t>
      </w:r>
    </w:p>
    <w:p>
      <w:r>
        <w:rPr>
          <w:b/>
        </w:rPr>
        <w:t>E. 7</w:t>
      </w:r>
    </w:p>
    <w:p>
      <w:r>
        <w:t>L’existence d’un lien de causalité naturelle avec le dommage prétendu doit ainsi être niée, sans qu’il y ait lieu de procéder à d’autres actes d’instruction, en particulier après l es audition s effectuée des nombreux témoins proposés par les parties qui ont pleinement permis d’établir les faits déterminants de la cause . La demande doit dès lors être rejetée.</w:t>
      </w:r>
    </w:p>
    <w:p>
      <w:r>
        <w:rPr>
          <w:b/>
        </w:rPr>
        <w:t>E. 8</w:t>
      </w:r>
    </w:p>
    <w:p>
      <w:r>
        <w:t>La procédure n’est en principe pas gratuite. Cependant, compte tenu des circonstances particulières du litige et dans la mesure où celui-ci est en rapport avec une longue procédure qui a dû être particulièrement douloureuse pour le demandeur mais qui s’est montré d’une parfaite objectivité lors de son audition d u 19 mai 2011 , il y a lieu de renoncer exceptionnellement à la perception de frais de justice (art. 47 al. 4 LPJA, art. 8 al. 2 et 9 al. 1 du décret sur le tarif des frais [RSN 164.1]). Vu l'issue du litige, il n'y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