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CDP.2009.194 vom 3. November 2011</w:t>
      </w:r>
    </w:p>
    <w:p>
      <w:r>
        <w:t>NE Tribunal cantonal, 2011-11-03, FR</w:t>
      </w:r>
    </w:p>
    <w:p>
      <w:r>
        <w:rPr>
          <w:b/>
        </w:rPr>
        <w:t xml:space="preserve">Quelle: </w:t>
      </w:r>
      <w:r>
        <w:t>https://mcp.opencaselaw.ch/entscheid/ne_gerichte_CDP.2009.194</w:t>
      </w:r>
    </w:p>
    <w:p>
      <w:r>
        <w:t>FR: NE_GERICHTE CDP.2009.194 du 3 novembre 2011</w:t>
      </w:r>
    </w:p>
    <w:p>
      <w:r>
        <w:t>IT: NE_GERICHTE CDP.2009.194 del 3 novembre 2011</w:t>
      </w:r>
    </w:p>
    <w:p>
      <w:pPr>
        <w:pStyle w:val="Heading2"/>
      </w:pPr>
      <w:r>
        <w:t>Erwägungen</w:t>
      </w:r>
    </w:p>
    <w:p>
      <w:r>
        <w:rPr>
          <w:b/>
        </w:rPr>
        <w:t>E. 1</w:t>
      </w:r>
    </w:p>
    <w:p>
      <w:r>
        <w:t>a) Selon la jurisprudence, le traitement des malades dans les hôpitaux publics ne relève pas de l'exercice d'une industrie, mais bien de l'exécution d'une tâche publique. Les dommages qui peuvent y survenir sont causés dans l'exercice d'une activité de puissance publique; ils ne constituent pas la violation d'un contrat de droit privé, et ce même si la relation nouée entre le patient et l'hôpital est semblable à un rapport contractuel puisque le premier accepte la prise en charge du second et lui verse une rémunération. Par conséquent, c'est donc en premier lieu sur la base du droit public cantonal que l'on détermine contre qui et à quelles conditions le patient peut agir en réparation de son dommage et de son tort moral en cas de traitement inadéquat (ATF 122 III 101 cons. 2a/aa, p. 104 et les références). L'Etablissement hospitalier neuchâtelois multisite cantonal (EHM) est un hôpital public, savoir un hôpital de droit public cantonal, indépendant de l'Etat et doté de la personnalité juridique (art. 1 de la loi sur l'EHM du 30.11.2004 LEHM; RSN 802.4 ) et la responsabilité de tout son personnel est régie par la loi sur la responsabilité des collectivités publiques et de leurs agents ( LResp ; art. 8 LEHM). b) Depuis le 1 er janvier 2011, la Cour de droit public du Tribunal cantonal a succédé au Tribunal administratif et traite les causes qui avaient été déférées à cette dernière instance (art. 47, 83 OJN ). Elle est donc compétente pour connaître de la présente action (art. 21 LResp; 58 LPJA ).</w:t>
      </w:r>
    </w:p>
    <w:p>
      <w:r>
        <w:rPr>
          <w:b/>
        </w:rPr>
        <w:t>E. 2</w:t>
      </w:r>
    </w:p>
    <w:p>
      <w:r>
        <w:t>a) Sous le titre "responsabilité pour acte illicite" l'article 5 al. 1 LResp dispose que la collectivité publique répond du dommage causé sans droit à un tiers par ses agents dans l'exercice de leurs fonctions, sans égard à la faute de ces derniers. D'après l'article 6 LResp , aux conditions prévues par le droit des obligations en matière d'actes illicites, une indemnité équitable peut en outre être allouée, en cas de faute de l'agent, à titre de réparation morale.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 184 cons. 2; ATF 107 Ib 160 ; Knapp , Précis de droit administratif, 4e éd., nos 2428-2446), l'article 3 LResp spécifiant d'ailleurs que les dispositions du droit privé fédéral sont applicables à titre de droit supplétif (RJN 2005, p. 172, 2003, p. 219). En ce qui concerne l'obligation de réparer un dommage au sens de l'article 5 LResp, une faute de l'agent public n'est pas exigée; un acte illicite, un dommage et un lien de causalité adéquate suffisent à engager la responsabilité de la collectivité. Un comportement illicite n'entraîne une obligation de réparer que s'il a entraîné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(ATF 113 Ib 420 cons. 3 et les références; arrêts du TF du 10.08.2005 [4P.152/2005] cons. 2.6, et du 23.11.2004 [4C.378/1999] cons. 3.2; v. aussi ATF 115 II 440 p. 449 cons. 6a et arrêt du 27.11.2001 [4C.229/2000] cons. 4; arrêt du TA du 24.03.2009 [TA.2000.288] cons. 2a). b) Lorsque le manquement reproché à un agent de la collectivité publique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 ces événements (ATF 132 III 305 cons. 3.5, p. 311, 115 II 440 cons. 6a, p. 449; SJ 2002 I 253 cons. 4, p. 259; ATA non publié du 29.03.2006 [TA.2001.255] cons. 4b). c) Selon la jurisprudence, il y a lieu de distinguer entre la causalité naturelle et causalité adéquate même si la violation d'une obligation est imputable à une omission. Pour retenir une causalité naturelle en cas d'omission, il faut admettre par hypothèse que le dommage ne serait pas survenu si l'intéressé avait accompli l'acte omis. Il n'y a un lien de causalité entre le défaut d'information et le dommage que si la partie, en cas d'information correcte, aurait pris une décision lui évitant le dommage. Si elle s'était conduite de la même manière, le lien de causalité doit être exclu. En règle générale, lorsque le lien de causalité hypothétique entre l'omission et le dommage est établi, il ne se justifie pas de soumettre cette constatation à un nouvel examen sur la nature adéquate de la causalité. La preuve du lien de causalité naturelle appartient au lésé qui fait valoir son droit à la réparation du dommage (art. 8 CC; arrêt du TF du 22.06.2011 [5A_406/2009] cons. 4.1 et les références).</w:t>
      </w:r>
    </w:p>
    <w:p>
      <w:r>
        <w:rPr>
          <w:b/>
        </w:rPr>
        <w:t>E. 3</w:t>
      </w:r>
    </w:p>
    <w:p>
      <w:r>
        <w:t>Selon l'article 6 al. 2 de la Constitution neuchâteloise, la loi fixe les conditions auxquelles l'Etat et les communes répondent des dommages que leurs agents causent de manière licite. Aux termes de l'article</w:t>
      </w:r>
    </w:p>
    <w:p>
      <w:r>
        <w:rPr>
          <w:b/>
        </w:rPr>
        <w:t>E. 7</w:t>
      </w:r>
    </w:p>
    <w:p>
      <w:r>
        <w:t>LResp , à examiner si, comme le soutiennent les demandeurs, l'équité exige que cette responsabilité soit engagée. b) L'hypothèse que la responsabilité de la collectivité publique soit engagée parce que l'équité l'exige présuppose de toute façon que l'administré se soit trouvé dans une situation imposée par l'Etat (ou par l'agent d'une collectivité publique) et qu'il en subisse un préjudice que celui-ci n'est en principe pas tenu de réparer (v. RJN 1998, p. 194-195 cons. 3a). En l'occurrence, la première de ces conditions fait manifestement défaut : l'agent qui n'agit pas alors que rien ne lui commande de faire quelque chose n'est pas à l'origine de la situation où se trouvent les administrés. Tel est le cas en l'espèce, où les médecins et soignants du défendeur ont laissé de côté une option (procéder à une césarienne le 08.08.2008) pour laquelle aucune indication médicale n'existait à ce moment-là. Cela exclut l'engagement de la responsabilité du défendeur par équité. Cela étant, il n'est pas nécessaire d'examiner si le dommage subi par les demandeurs – qui est indéniablement très grave – revêt le caractère de spécialité exigé également par la jurisprudence, ni d'examiner si l'on est en présence ou non d'une véritable lacune de la loi (v. cons. 3 ci-dessus). 5. Il suit des considérants qui précèdent que la demande se révèle mal fondée, même en ce qui concerne les conclusions qui demeurent après le désistement partiel des demandeurs. Elle doit être rejetée sans qu'il soit nécessaire de procéder à l'administration d'autres preuves. Vu le sort de la cause, les demandeurs en supporteront les frais qui comprennent ceux de l'expertise médicale judiciaire. Il n'y a en outre pas lieu à allocation de dépens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