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CCP.2008.124 vom 12. Januar 2008</w:t>
      </w:r>
    </w:p>
    <w:p>
      <w:r>
        <w:t>NE Tribunal cantonal, 2008-01-12, FR</w:t>
      </w:r>
    </w:p>
    <w:p>
      <w:r>
        <w:rPr>
          <w:b/>
        </w:rPr>
        <w:t xml:space="preserve">Quelle: </w:t>
      </w:r>
      <w:r>
        <w:t>https://mcp.opencaselaw.ch/entscheid/ne_gerichte_CCP.2008.124_d20080112</w:t>
      </w:r>
    </w:p>
    <w:p>
      <w:r>
        <w:t>FR: NE_GERICHTE CCP.2008.124 du 12 janvier 2008</w:t>
      </w:r>
    </w:p>
    <w:p>
      <w:r>
        <w:t>IT: NE_GERICHTE CCP.2008.124 del 12 gennaio 2008</w:t>
      </w:r>
    </w:p>
    <w:p>
      <w:pPr>
        <w:pStyle w:val="Heading2"/>
      </w:pPr>
      <w:r>
        <w:t>Regeste</w:t>
      </w:r>
    </w:p>
    <w:p>
      <w:r>
        <w:t>Mesure thérapeutique institutionnelle, proportionnalité. Trouble paranoïaque.</w:t>
      </w:r>
    </w:p>
    <w:p>
      <w:pPr>
        <w:pStyle w:val="Heading2"/>
      </w:pPr>
      <w:r>
        <w:t>Erwägungen</w:t>
      </w:r>
    </w:p>
    <w:p>
      <w:r>
        <w:rPr>
          <w:b/>
        </w:rPr>
        <w:t>E. 1</w:t>
      </w:r>
    </w:p>
    <w:p>
      <w:r>
        <w:t>Principes</w:t>
      </w:r>
    </w:p>
    <w:p>
      <w:r>
        <w:t>1Une mesure doit être ordonnée:</w:t>
      </w:r>
    </w:p>
    <w:p>
      <w:r>
        <w:t>a.</w:t>
      </w:r>
    </w:p>
    <w:p>
      <w:r>
        <w:t>si une peine seule ne peut écarter le danger que l'auteur commette d'autres infractions;</w:t>
      </w:r>
    </w:p>
    <w:p>
      <w:r>
        <w:t>b.</w:t>
      </w:r>
    </w:p>
    <w:p>
      <w:r>
        <w:t>si l'auteur a besoin d'un traitement ou que la sécurité publique l'exige et</w:t>
      </w:r>
    </w:p>
    <w:p>
      <w:r>
        <w:t>c.</w:t>
      </w:r>
    </w:p>
    <w:p>
      <w:r>
        <w:t>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w:t>
      </w:r>
    </w:p>
    <w:p>
      <w:r>
        <w:t>sur la nécessité et les chances de succès d'un traitement;</w:t>
      </w:r>
    </w:p>
    <w:p>
      <w:r>
        <w:t>b.</w:t>
      </w:r>
    </w:p>
    <w:p>
      <w:r>
        <w:t>sur la vraisemblance que l'auteur commette d'autres infractions et sur la nature de celles-ci;</w:t>
      </w:r>
    </w:p>
    <w:p>
      <w:r>
        <w:t>c.</w:t>
      </w:r>
    </w:p>
    <w:p>
      <w:r>
        <w:t>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(RO200829612964;FF2006869).</w:t>
      </w:r>
    </w:p>
    <w:p>
      <w:r>
        <w:rPr>
          <w:b/>
        </w:rPr>
        <w:t>E. 2</w:t>
      </w:r>
    </w:p>
    <w:p>
      <w:r>
        <w:t>Mesures thérapeutiques institutionnelles.</w:t>
      </w:r>
    </w:p>
    <w:p>
      <w:r>
        <w:t>Traitement des troubles mentaux</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(RO200635393544;FF20054425).</w:t>
      </w:r>
    </w:p>
    <w:p>
      <w:r>
        <w:rPr>
          <w:b/>
        </w:rPr>
        <w:t>E. 3</w:t>
      </w:r>
    </w:p>
    <w:p>
      <w:r>
        <w:t>Traitement ambulatoire.</w:t>
      </w:r>
    </w:p>
    <w:p>
      <w:r>
        <w:t>Conditions et exécution</w:t>
      </w:r>
    </w:p>
    <w:p>
      <w:r>
        <w:t>1Lorsque l'auteur souffre d'un grave trouble mental, est toxico-dépendant ou qu'il souffre d'une autre addiction, le juge peut ordonner un traitement ambulatoire au lieu d'un traitement institutionnel, aux conditions suivantes:</w:t>
      </w:r>
    </w:p>
    <w:p>
      <w:r>
        <w:t>a.</w:t>
      </w:r>
    </w:p>
    <w:p>
      <w:r>
        <w:t>l'auteur a commis un acte punissable en relation avec son état;</w:t>
      </w:r>
    </w:p>
    <w:p>
      <w:r>
        <w:t>b.</w:t>
      </w:r>
    </w:p>
    <w:p>
      <w:r>
        <w:t>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rPr>
          <w:b/>
        </w:rPr>
        <w:t>E. 6</w:t>
      </w:r>
    </w:p>
    <w:p>
      <w:r>
        <w:t>B_457/2007 du 12 novembre 2007 , cons.5 et références citées). c) Les premiers juges se sont ici fondés sur l’expertise psychiatrique du recourant mise en œuvre durant l’instruction, laquelle a mis en lumière l’existence d’un trouble psychique nécessitant la mise en place d’un traitement médicamenteux sédatif, de tels soins étant propres à diminuer le risque de commission de nouvelles infractions. A ce propos, l’expert a estimé que le recourant présentait un risque de récidive, sous forme de comportement menaçant, voire agressif, pour faire pression sur ses proches et en particulier sur son épouse, un risque de passage à l’acte agressif grave ne pouvant être exclu, susceptible de se matérialiser dans le cadre du dérapage d’un processus d’escalade, d’où la nécessité d’un traitement thérapeutique. Certes, l’expert a mis en exergue le fait qu’un traitement institutionnel ne semblait pas constituer une solution satisfaisante à long terme, dans la mesure où la problématique fondamentale du recourant ne s’en trouverait pas modifiée, et que la médecine psychiatrique était particulièrement démunie, sur le plan thérapeutique, dans une situation telle que celle de E.. Cependant, et parallèlement, l’expert a souligné que le traitement médicamenteux préconisé constituerait la mesure médicale la plus utile, mais qu'elle serait difficile à mettre en place, tenant compte de la faible compliance du recourant au traitement. De plus, et si dans le discours, le recourant était prêt à faire toutes les promesses qui lui seraient demandées, on pouvait discerner chez lui une profonde réticence à se soumettre à une telle thérapie particulièrement difficile à mettre en œuvre en dehors d’un milieu institutionnel, la mise à l’abri dans un tel milieu paraissant une réponse appropriée en situation de crise, à défaut d’être satisfaisante sur le long terme, un traitement ambulatoire s’avérant quant à lui difficile à mettre en œuvre tenant compte des réticences du recourant. d) Au vu des réponses nuancées de l’expert, la Cour de céans estime que les premiers juges pouvaient, sans enfreindre le droit fédéral, considérer que les conditions d’une mesure thérapeutique institutionnelle en milieu fermé étaient données. En effet, les infractions reprochées au recourant présentaient un caractère certain de gravité, tenant compte de la durée et de la répétition de ses agissements, des menaces proférées, dont des menaces de mort, ainsi que de certains actes violents. Les risques de récidive évoqués par l’expert psychiatre, d’ailleurs corroborés par la succession de comportements similaires au fil des années, sont manifestes, les biens juridiques mis en péril par le recourant, soit la vie et l’intégrité corporelle, permettant de se montrer moins exigeant quant à l’imminence et à la gravité du danger. Enfin, l’absence de toute compliance du recourant au traitement médicamenteux préconisé par l’expert rendait impossible d’envisager uniquement, selon le principe de subsidiarité, un simple traitement ambulatoire. En dernier lieu, et en rapport avec l’argumentation du recourant concernant la durée excessive de la mesure qui le touche, il sied de rappeler qu’il appartiendra à l’autorité compétente d’examiner à intervalles réguliers la situation du recourant, ainsi qu’une éventuelle libération conditionnelle de l’exécution de la mesure. 4. Il résulte des considérations qui précèdent que le pourvoi de E. est mal fondé, ce qui conduira donc à son rejet. Vu le sort de la cause, et sous réserve des règles de la LAPCA, les frais de la procédure de cassation seront mis à la charge du recourant, sans allocation de dépens, la plaignante n’étant pas intervenue dans le cadre de la procédure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