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CCP.2007.7 vom 11. Mai 2007</w:t>
      </w:r>
    </w:p>
    <w:p>
      <w:r>
        <w:t>NE Tribunal cantonal, 2007-05-11, FR</w:t>
      </w:r>
    </w:p>
    <w:p>
      <w:r>
        <w:rPr>
          <w:b/>
        </w:rPr>
        <w:t xml:space="preserve">Quelle: </w:t>
      </w:r>
      <w:r>
        <w:t>https://mcp.opencaselaw.ch/entscheid/ne_gerichte_CCP.2007.7</w:t>
      </w:r>
    </w:p>
    <w:p>
      <w:r>
        <w:t>FR: NE_GERICHTE CCP.2007.7 du 11 mai 2007</w:t>
      </w:r>
    </w:p>
    <w:p>
      <w:r>
        <w:t>IT: NE_GERICHTE CCP.2007.7 del 11 maggio 2007</w:t>
      </w:r>
    </w:p>
    <w:p>
      <w:pPr>
        <w:pStyle w:val="Heading2"/>
      </w:pPr>
      <w:r>
        <w:t>Erwägungen</w:t>
      </w:r>
    </w:p>
    <w:p>
      <w:r>
        <w:rPr>
          <w:b/>
        </w:rPr>
        <w:t>E. 1</w:t>
      </w:r>
    </w:p>
    <w:p>
      <w:r>
        <w:t>Interjeté dans les formes et délai légaux, le pourvoi est recevable.</w:t>
      </w:r>
    </w:p>
    <w:p>
      <w:r>
        <w:rPr>
          <w:b/>
        </w:rPr>
        <w:t>E. 2</w:t>
      </w:r>
    </w:p>
    <w:p>
      <w:r>
        <w:t>Une décision est arbitraire lorsqu'elle viole gravement une norme ou un principe juridique clair et indiscuté, ou lorsqu'elle contredit de manière choquante le sentiment de la justice et de l'équité. A l'instar du Tribunal fédéral, la Cour des céans ne s'écarte de la solution retenue par l'autorité de première instance que si elle apparaît insoutenable, en contradiction manifeste avec la situation de fait, adoptée sans motifs objectifs et en violation d'un droit certain. En outre, il ne suffit pas que les motifs de la décision critiquée soient insoutenables, encore faut-il que cette dernière soit arbitraire dans son résultat ( ATF 131 I 57 cons.2, p.61; 129 I 8 , cons.2.1, p.9; 173 cons.3.1, p.178; 128 I 177 cons.2.1, p.182). A cet égard, il ne suffit pas non plus qu'une solution différente de celle retenue par l'autorité de première instance apparaisse également concevable ou préférable ( ATF 128 II 259 cons.5, p.280; 127 I 54 cons.2b, p.56; 60 cons.5a, p.70). Lorsque le recourant – comme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cons.2.1, p.9; 127 I 38 cons.2a, p.41; 124 I 208 cons.4a, p.211).</w:t>
      </w:r>
    </w:p>
    <w:p>
      <w:r>
        <w:rPr>
          <w:b/>
        </w:rPr>
        <w:t>E. 3</w:t>
      </w:r>
    </w:p>
    <w:p>
      <w:r>
        <w:t>En l'espèce, le recourant peut être suivi lorsqu'il affirme que sa relation passée avec la plaignante et le déroulement de la soirée pouvaient augurer, de son point de vue du moins, un rapport sexuel. Il peut à la rigueur être suivi lorsqu'il prétend qu'une fois au lit, il pouvait se sentir autorisé à aller, dans ses gestes, plus loin que les baisers. Mais c'est avec raison que les premiers juges ont retenu qu'aussitôt "touchée" – par quoi il faut lire aussitôt que les mains ont touché les sexes – la plaignante a manifesté un premier signal de refus. Le recourant l'a du reste admis tout au long de la procédure (cf. ad 11 et 12 de l'arrêt de renvoi; cf. aussi les déclarations du recourant reproduites en page 3 du jugement: " Elle répondait à ses baisers. Il l'a caressée sous le pyjama pour l'exciter et lui "donner envie". Elle a enlevé sa main en lui disant "non, il ne faut pas .""). Il ne saurait donc prétendre, comme il le laisse entendre dans son pourvoi (p.8, § 7), que la plaignante a répondu à ces caresses-là. Certes, on peut concevoir qu'à partir de ce moment, il lui ait fallu un peu de temps pour capter le message et que les tentatives subséquentes d'attouchement ont pu faire partie d'un processus de retour sur terre. Toutefois, la réaffirmation du refus en réponse à ses nouvelles tentatives aurait dû être comprise comme un refus bien réel. Elle l'a du reste été si l'on en juge à la remarque du recourant, selon laquelle " Il a alors vu dans le regard de celle-ci qu'il était en train de la perdre " (jugement, p. 3). Le déshabillage subséquent, manifestement contraint, et tout ce qui a suivi est incompréhensible et répréhensible, les premiers juges ne pouvant pas, sauf à s'écarter du dossier, assimiler ces nouveaux assauts à des manœuvres de reconquête, ni comprendre que le recourant avait encore besoin de temps pour enregistrer le refus. A ce stade, le jeune âge n'est plus une excuse, d'autant qu'il s'est passé un temps relativement long – et on veut bien croire interminable pour la plaignante – entre le moment où il a capté un message dans le regard de l'autre et le moment où il s'est désisté, le recourant ayant encore trouvé le temps, au mépris de tous les sémaphores, d'enlever le pyjama de la victime, de monter sur elle, de se relever, de lui enlever la culotte, de se repositionner, et de tenter à plusieurs reprises la pénétration. Dans ces conditions, le recourant ne peut pas décemment invoquer une erreur sur les faits.</w:t>
      </w:r>
    </w:p>
    <w:p>
      <w:r>
        <w:rPr>
          <w:b/>
        </w:rPr>
        <w:t>E. 4</w:t>
      </w:r>
    </w:p>
    <w:p>
      <w:r>
        <w:t>a) Aux termes de l'article 63 aCP , le juge fixe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L'article 63 aCP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 ATF 127 IV 104 , 123 IV 51 , RJN 1996, p.70 ). La Cour doit également annuler un jugement lorsqu'elle n'est pas en mesure de déterminer si tous les critères d'appréciation ont été correctement évalués, c'est à dire si la motivation est insuffisante pour permettre de contrôler le respect de l'article 63 aCP (voir en particulier ATF 116 IV 290 et en dernier lieu ATF 127 IV 104 ). Dans ce dernier arrêt, le Tribunal fédéral rappelle en particulier que la motivation doit justifier la peine prononcée, en permettant de suivre le raisonnement adopté, sans toutefois que le juge doive exprimer en chiffres ou en pourcentage l'importance qu'il accorde à chaque élément qu'il cite, mais que plus la peine est élevée, plus la motivation doit être complète. b) Le tribunal correctionnel a fixé la peine à 14 mois d'emprisonnement avec sursis pendant 2 ans. Il a tenu compte, à décharge, d'une certaine confusion des sentiments au début, d'un usage limité de la force, du désistement du fait de l'opposition marquée par la victime, du jeune âge (moins de 20 ans au moment des faits), de l'écoulement du temps sans nouvelles infractions, de la franchise du condamné, de son accord à entreprendre une médiation avec la victime, de ses regrets sincères, d'un casier judiciaire vierge, et de renseignements généraux favorables. A charge, il a retenu son refus répété de respecter l'opposition de la victime, l'usage de la force, la gravité certaine des gestes (toucher du sexe avec ses doigts et tentative de pénétration vaginale avec son sexe), l'assouvissement de pulsions sexuelles au détriment de la victime et l'impact des actes sur la victime. De l'avis de la Cour, la peine infligée au recourant est excessivement sévère. Tout d'abord, dès l'instant où l'on est en présence d'une tentative (art. 21 al. 1 aCP ) et d'un désistement (art. 21 al. 2 aCP ) – combinaison peu banale mais retenue à bon droit par les premiers juges – voire encore d'un repentir sincère (art. 64 aCP ), le cadre légal de la peine prévue à l'article 190 al. 1 CP (emprisonnement de 1 an à 10 ans) est susceptible d'être élargi vers le bas (art. 65 aCP), et plutôt deux, voire trois fois qu'une. De plus, les éléments d'appréciation relatifs à la personne du recourant, sans lien avec les actes commis (casier judiciaire vierge, renseignements généraux favorables), lui sont clairement favorables, à l'instar de son comportement relativement exemplaire après les faits (absence d'infractions dans les trois ans qui ont suivi la commission des actes, franchise, accord à une médiation). En outre, on ne peut faire abstraction des liens intimes qui avaient uni auteur et victime dans un passé très proche (cf. ATF 116 IV 179 ). Certes, les premiers juges effleurent cet élément en relevant une certaine confusion des sentiments, mais de manière insuffisante dès lors que l'état de confusion n'est décrit que sous l'angle des marques affectives échangées durant la soirée (baisers, volonté de dormir ensemble). Or, la proximité du passé intime entre l'auteur et la victime a aussi eu un rôle dans le déroulement des faits propre à diminuer la culpabilité du recourant, celui-ci pouvant davantage pressentir un consentement de l'intimée à un rapport sexuel dès lors qu'ils se connaissaient déjà intimement. Vu la multiplication des éléments favorables, tous relevés par les premiers juges à une exception près, une peine de 14 mois d'emprisonnement accorde encore trop de poids à la gravité du comportement réprimé par l'art. 190 CP, gravité qui ne doit pas non plus être minimisée évidemment.</w:t>
      </w:r>
    </w:p>
    <w:p>
      <w:r>
        <w:rPr>
          <w:b/>
        </w:rPr>
        <w:t>E. 5</w:t>
      </w:r>
    </w:p>
    <w:p>
      <w:r>
        <w:t>Au vu de ce qui précède, le pourvoi doit être partiellement admis et le jugement entrepris cassé dans la mesure où il prononce une peine excessive. Dès l'instant où le système des sanctions du code pénal a été profondément modifié par les révisions des 13 décembre 2002 et 24 mars 2006, entrées en vigueur le 1 er janvier 2007, la Cour de céans n'est pas, en dépit de la teneur de l'article 252 al.2 lit.a CPP , en mesure de statuer elle-même. Il se justifie dès lors de renvoyer l'affaire aux premiers juges afin que ceux-ci fixent une nouvelle peine sensiblement moins élevée au sens des considérants qui précèdent.</w:t>
      </w:r>
    </w:p>
    <w:p>
      <w:r>
        <w:rPr>
          <w:b/>
        </w:rPr>
        <w:t>E. 6</w:t>
      </w:r>
    </w:p>
    <w:p>
      <w:r>
        <w:t>Le recourant obtenant partiellement gain de cause, seule une partie des frais de la procédure de recours sera mise à sa charge. Il ne sera pas alloué de dépens, l'équité ne le commandant pas dès lors que par son avocate, la plaignante déclare ne pas souhaiter participer à la procédure de recours. Il ne se justifie pas davantage de condamner celle-ci à verser des dépens au recourant.</w:t>
      </w:r>
    </w:p>
    <w:p>
      <w:r>
        <w:rPr>
          <w:b/>
        </w:rPr>
        <w:t>E. 20</w:t>
      </w:r>
    </w:p>
    <w:p>
      <w:r>
        <w:t>ans et ne possédait pas encore pleinement la faculté d'apprécier le caractère illicite de son acte.</w:t>
      </w:r>
    </w:p>
    <w:p>
      <w:r>
        <w:t>Viol</w:t>
      </w:r>
    </w:p>
    <w:p>
      <w:r>
        <w:t>1Celui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1eravril 2004 (RO200414031407;FF200317501779).2Nouvelle teneur selon le ch. I de la LF du 3 oct. 2003 (Poursuite des infractions entre conjoints ou partenaires), en vigueur depuis le 1eravril 2004 (RO200414031407;FF200317501779).</w:t>
      </w:r>
    </w:p>
    <w:p>
      <w:r>
        <w:t>Etat le 19 décembre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