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CCP.2006.8 vom 20. Juli 2006</w:t>
      </w:r>
    </w:p>
    <w:p>
      <w:r>
        <w:t>NE Tribunal cantonal, 2006-07-20, FR</w:t>
      </w:r>
    </w:p>
    <w:p>
      <w:r>
        <w:rPr>
          <w:b/>
        </w:rPr>
        <w:t xml:space="preserve">Quelle: </w:t>
      </w:r>
      <w:r>
        <w:t>https://mcp.opencaselaw.ch/entscheid/ne_gerichte_CCP.2006.8</w:t>
      </w:r>
    </w:p>
    <w:p>
      <w:r>
        <w:t>FR: NE_GERICHTE CCP.2006.8 du 20 juillet 2006</w:t>
      </w:r>
    </w:p>
    <w:p>
      <w:r>
        <w:t>IT: NE_GERICHTE CCP.2006.8 del 20 luglio 2006</w:t>
      </w:r>
    </w:p>
    <w:p>
      <w:pPr>
        <w:pStyle w:val="Heading2"/>
      </w:pPr>
      <w:r>
        <w:t>Erwägungen</w:t>
      </w:r>
    </w:p>
    <w:p>
      <w:r>
        <w:rPr>
          <w:b/>
        </w:rPr>
        <w:t>E. 1</w:t>
      </w:r>
    </w:p>
    <w:p>
      <w:r>
        <w:t>Le juge prononcera la confiscation des valeurs patrimoniales qui sont le résultat d'une infraction ou qui étaient destinées à décider ou à récompenser l'auteur d'une infraction, si elles ne doivent pas être restituées au lésé en rétablissement de ses droits.</w:t>
      </w:r>
    </w:p>
    <w:p>
      <w:r>
        <w:t>La confiscation ne sera pas prononcée lorsqu'un tiers a acquis les valeurs dans l'ignorance des faits qui l'auraient justifiée, et cela dans la mesure où il a fourni une contre-prestation adéquate ou si la confiscation se révèle à son égard d'une rigueur excessive.</w:t>
      </w:r>
    </w:p>
    <w:p>
      <w:r>
        <w:t>Le droit d'ordonner la confiscation de valeurs se prescrit par cinq ans, à moins que la poursuite de l'infraction en cause ne soit soumise à une prescription d'une durée plus longue, qui est alors applicable.</w:t>
      </w:r>
    </w:p>
    <w:p>
      <w:r>
        <w:t>La décision de confiscation fera l'objet d'un avis officiel. Les prétentions de lésés ou de tiers s'éteignent cinq ans après l'avis officiel de confiscation.</w:t>
      </w:r>
    </w:p>
    <w:p>
      <w:r>
        <w:rPr>
          <w:b/>
        </w:rPr>
        <w:t>E. 2</w:t>
      </w:r>
    </w:p>
    <w:p>
      <w:r>
        <w:t>Lorsque les valeurs patrimoniales à confisquer ne sont plus disponibles, le juge ordonnera leur remplacement par une créance compensatrice de l'Etat d'un montant équivalent. Elle ne pourra être prononcée contre un tiers que dans la mesure où les conditions prévues au chiffre 1, 2e alinéa, ne sont pas réalisées.</w:t>
      </w:r>
    </w:p>
    <w:p>
      <w:r>
        <w:t>Le juge pourra renoncer totalement ou partiellement à la créance compensatrice s'il est à prévoir qu'elle ne serait pas recouvrable ou qu'elle entraverait sérieusement la réinsertion de l'intéressé.</w:t>
      </w:r>
    </w:p>
    <w:p>
      <w:r>
        <w:t>L'autorité d'instruction pourra placer sous séquestre, en vue de l'exécution d'une créance compensatrice, les éléments du patrimoine de la personne concernée. Le séquestre ne crée pas de droit de préférence en faveur de l'Etat lors de l'exécution forcée de la créance compensatrice.</w:t>
      </w:r>
    </w:p>
    <w:p>
      <w:r>
        <w:rPr>
          <w:b/>
        </w:rPr>
        <w:t>E. 3</w:t>
      </w:r>
    </w:p>
    <w:p>
      <w:r>
        <w:t>Le juge prononcera la confiscation de toutes les valeurs sur lesquelles une organisation criminelle exerce un pourvoir de disposition. Les valeurs appartenant à une personne qui a participé ou apporté son soutien à une organisation criminelle (art. 260 ter) sont présumées soumises, jusqu'à preuve du contraire, au pourvoir de disposition de l'organisation.</w:t>
      </w:r>
    </w:p>
    <w:p>
      <w:r>
        <w:rPr>
          <w:b/>
        </w:rPr>
        <w:t>E. 4</w:t>
      </w:r>
    </w:p>
    <w:p>
      <w:r>
        <w:t>Si le montant des valeurs soumises à confiscation ne peut être précisément déterminé ou si cette détermination requiert des moyens disproportionnés, le juge pourra procéder à une estimation.</w:t>
      </w:r>
    </w:p>
    <w:p>
      <w:r>
        <w:t>F. Réserve de dispositions spéciales</w:t>
      </w:r>
    </w:p>
    <w:p>
      <w:r>
        <w:t>1. Réalisation dobjets confisqués</w:t>
      </w:r>
    </w:p>
    <w:p>
      <w:r>
        <w:t>La réalisation dobjets confisqués en vertu des lois pénales et fiscales de la Confédération et des cantons sopère en conformité des dispositions de ces lois.</w:t>
      </w:r>
    </w:p>
    <w:p>
      <w:r>
        <w:rPr>
          <w:b/>
        </w:rPr>
        <w:t>E. 5</w:t>
      </w:r>
    </w:p>
    <w:p>
      <w:r>
        <w:t>Vu l'issue du pourvoi, les frais de recours resteront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