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CCP.2005.86 vom 9. Oktober 2006</w:t>
      </w:r>
    </w:p>
    <w:p>
      <w:r>
        <w:t>NE Tribunal cantonal, 2006-10-09, FR</w:t>
      </w:r>
    </w:p>
    <w:p>
      <w:r>
        <w:rPr>
          <w:b/>
        </w:rPr>
        <w:t xml:space="preserve">Quelle: </w:t>
      </w:r>
      <w:r>
        <w:t>https://mcp.opencaselaw.ch/entscheid/ne_gerichte_CCP.2005.86</w:t>
      </w:r>
    </w:p>
    <w:p>
      <w:r>
        <w:t>FR: NE_GERICHTE CCP.2005.86 du 9 octobre 2006</w:t>
      </w:r>
    </w:p>
    <w:p>
      <w:r>
        <w:t>IT: NE_GERICHTE CCP.2005.86 del 9 ottobre 2006</w:t>
      </w:r>
    </w:p>
    <w:p>
      <w:pPr>
        <w:pStyle w:val="Heading2"/>
      </w:pPr>
      <w:r>
        <w:t>Erwägungen</w:t>
      </w:r>
    </w:p>
    <w:p>
      <w:r>
        <w:rPr>
          <w:b/>
        </w:rPr>
        <w:t>E. 1</w:t>
      </w:r>
    </w:p>
    <w:p>
      <w:r>
        <w:t>Interjeté dans le délai légal et dans les formes prescrites par la loi, le pourvoi est recevable.</w:t>
      </w:r>
    </w:p>
    <w:p>
      <w:r>
        <w:rPr>
          <w:b/>
        </w:rPr>
        <w:t>E. 2</w:t>
      </w:r>
    </w:p>
    <w:p>
      <w:r>
        <w:t>Dans la teneur adoptée le 14 décembre 2001, en vigueur dès le 1 er janvier 2005, l'article 91 al.1 LCR dispose que "quiconque a conduit un véhicule automobile en état d'ébriété, est puni des arrêts ou de l'amende. La peine sera l'emprisonnement ou l'amende lorsque le taux d'alcoolémie est qualifié (art.55, al.6)". L'article 55 al.6 LCR, tel qu'adopté à la même occasion, délègue à l'Assemblée fédérale la compétence de fixer dans une ordonnance "le taux d'alcoolémie à partir duquel les conducteurs sont réputés être dans l'incapacité de conduire au sens de la présente loi (état d'ébriété) indépendamment de toute autre preuve et du degré de tolérance individuelle à l'alcool". Par ordonnance du 21 mars 2003, l'Assemblée fédérale a arrêté ce qui suit, sous le titre "incapacité de conduire": "un conducteur est réputé incapable de conduire lorsqu'il présente un taux d'alcoolémie de 0,5 gramme pour mille ou plus ou que son organisme contient une quantité d'alcool entraînant un tel taux d'alcoolémie (état d'ébriété)". Pour sa part, le Conseil fédéral, faisant usage de la délégation qui lui était conférée à l'article 55 al.7 litt.b LCR, aux fins notamment d'édicter des prescriptions "sur la procédure qui règle l'utilisation de l'alcotest et le prélèvement de sang", a édicté, à l'article 139 OAC, diverses prescriptions concernant l'usage de l'éthylomètre. Il a notamment imposé l'usage d'appareils permettant des mesures "d'une précision de 0.05 pour mille dans une fourchette correspondant à un taux d'alcool dans le sang de 0.02 à 1,00 pour mille" (al.2 litt.b) et qui "convertissent le taux d'alcool mesuré dans l'haleine (mg/l) avec un facteur de 2'000 en taux d'alcool dans le sang (g/kg)" (al.2 litt.c). A l'article 139 al.4 OAC , le Conseil fédéral a énoncé la règle selon laquelle "l'incapacité de conduire de la personne concernée est réputée établie lorsque le résultat inférieur des deux mesures [pratiquées avec l'éthylomètre] correspond à un taux d'alcool dans le sang de 0,50 pour mille ou plus, mais de moins de 0,80 et que la personne concernée reconnaît cette valeur". L'instauration d'une possibilité d'accord procédural, dans la dernière disposition précitée, ne s'inscrit pas sans autre dans la tradition du droit pénal suisse, dominé par la maxime de l'instruction et la recherche de la vérité matérielle ( Piquerez , Procédure pénale suisse, p.411-12). En dépit des avantages pratiques d'une telle solution, celle-ci prête clairement le flanc à la critique, d'un point de vue dogmatique : d'une part, elle suppose qu'un conducteur suspect d'incapacité de conduite automobile soit, en revanche, en mesure d'apprécier correctement, au même instant, les conséquences pas nécessairement évidentes, sur les plans pénal et administratif, de sa renonciation à la prise de sang; en outre et surtout, cette règle paraît prendre en compte un aveu impossible, car à l'inverse de l'auteur d'un vol ou d'un excès de vitesse caractérisé par exemple – qui peut valablement admettre avoir enfreint la loi -, le suspect d'ivresse légère n'est absolument pas mieux placé que la police pour se prononcer sur un taux d'ébriété à la limite de la répression. Il n'incombe pas à la Cour de dire ici si la norme réglementaire ainsi posée respecte la délégation de compétence législative, mais les critiques susmentionnées imposent de limiter sa portée à celle d'une simple règle de preuve, n'empêchant pas le prévenu de contester ensuite l'état d'ébriété qui lui est reproché. Par ailleurs, on ne saurait déduire de cette disposition, comme le voudrait le recourant, qu'un résultat éthylomètre de 0,50 ‰ au minimum suffise à la condamnation du conducteur, si celui-ci admet la valeur mesurée, même sans déduction d'une marge de sécurité. En effet, le seuil posé par l'Assemblée fédérale, dans l'ordonnance du 21 mars 2003, est un taux d'alcoolémie réel de 0,5 gramme pour mille, de sorte que s'il subsiste une possibilité que cette valeur ne soit pas atteinte, l'état d'ébriété répréhensible, selon l'article 91 al.1 LCR , ne peut pas être reconnu de façon certaine.</w:t>
      </w:r>
    </w:p>
    <w:p>
      <w:r>
        <w:rPr>
          <w:b/>
        </w:rPr>
        <w:t>E. 3</w:t>
      </w:r>
    </w:p>
    <w:p>
      <w:r>
        <w:t>Ni l'article 139 OAC , ni les instructions édictées le 28 avril 2004 par l'office fédéral des routes n'indiquent de quelle façon la marge d'erreur de la mesure à l'éthylomètre doit être prise en compte. Même si l'on retient que les appareils agréés présentent une marge d'imprécision d'au maximum 0,05 ‰ (malgré le chiffre 4.2 des instructions précitées, qui paraît malencontreusement imposer le contraire lorsqu'il indique que "la précision de la mesure… doit atteindre au maximum 0,05 ‰"!), rien ne permet d'affirmer que le risque d'erreur soit moindre. On ignore d'ailleurs si la marge de 0,05 ‰ est globale ou si elle désigne l'écart, en plus ou en moins, avec la réalité. Il est possible que les appareils tiennent compte automatiquement de l'erreur possible en affichant une valeur inférieure de 0,05 ‰ à celle enregistrée, mais cela est peu probable et rien ne permet de l'affirmer. De même, la police pourrait opérer une déduction sur le résultat qu'elle lit, comme cela se fait en matière de contrôle radar, mais rien non plus ne permet de retenir l'existence d'une telle pratique, non verbalisée. Contrairement à l'opinion du recourant, le facteur imposé, pour la conversion du taux d'alcool dans l'haleine en taux d'alcool dans le sang, ne fournit aucune marge de sécurité. Dans l'article auquel se réfère le Ministère public (AJP 1996, p.1111ss, 1114), le professeur Sigrist évoque un domaine de dispersion des valeurs biologiques de 1'700 à 2'500; si donc le facteur 2'000 se situe légèrement en dessous de la moyenne des valeurs extrêmes, il implique néanmoins un risque d'erreur supplémentaire, si la personne en cause présente, au moment de l'examen, des caractéristiques biologiques correspondant à un facteur compris en 1'700 et 2'000. En retenant que, dans les conditions relatées par le dossier (abstraction faite, au demeurant, de la troisième mesure alléguée par le prévenu, qui n'aurait révélé qu'un taux de 0,49 ‰), le constat d'ébriété laissait subsister un doute, le premier juge n'a pas faussement appliqué les dispositions légales.</w:t>
      </w:r>
    </w:p>
    <w:p>
      <w:r>
        <w:rPr>
          <w:b/>
        </w:rPr>
        <w:t>E. 4</w:t>
      </w:r>
    </w:p>
    <w:p>
      <w:r>
        <w:t>Tout au plus peut-on se demander si, face à un dossier éventuellement lacunaire, le premier juge n'aurait pas dû administrer des preuves supplémentaires (audition de l'un des gendarmes verbalisateurs ou interpellation de la gendarmerie), pour déterminer si, éventuellement, la marge d'imprécision des appareils était prise en compte, sans que cela fût mentionné dans le dossier. Le recourant n'énonce pas un tel grief, cependant, et la Cour n'a pas à s'en saisir d'office, s'agissant de l'établissement des faits. Le pourvoi sera dès lors rejeté et les frais resteront à la  charge de l'Etat.</w:t>
      </w:r>
    </w:p>
    <w:p>
      <w:r>
        <w:rPr>
          <w:b/>
        </w:rPr>
        <w:t>E. 28</w:t>
      </w:r>
    </w:p>
    <w:p>
      <w:r>
        <w:t>avril 2004 par l'office fédéral des routes n'indiquent de quelle façon la marge d'erreur de la mesure à l'éthylomètre doit être prise en compte. Même si l'on retient que les appareils agréés présentent une marge d'imprécision d'au maximum 0,05  (malgré le chiffre 4.2 des instructions précitées, qui paraît malencontreusement imposer le contraire lorsqu'il indique que "la précision de la mesure doit atteindre au maximum 0,05"!), rien ne permet d'affirmer que le risque d'erreur soit moindre. On ignore d'ailleurs si la marge de 0,05  est globale ou si elle désigne l'écart, en plus ou en moins, avec la réalité.</w:t>
      </w:r>
    </w:p>
    <w:p>
      <w:r>
        <w:t>Il est possible que les appareils tiennent compte automatiquement de l'erreur possible en affichant une valeur inférieure de 0,05  à celle enregistrée, mais cela est peu probable et rien ne permet de l'affirmer. De même, la police pourrait opérer une déduction sur le résultat qu'elle lit, comme cela se fait en matière de contrôle radar, mais rien non plus ne permet de retenir l'existence d'une telle pratique, non verbalisée.</w:t>
      </w:r>
    </w:p>
    <w:p>
      <w:r>
        <w:t>Contrairement à l'opinion du recourant, le facteur imposé, pour la conversion du taux d'alcool dans l'haleine en taux d'alcool dans le sang, ne fournit aucune marge de sécurité. Dans l'article auquel se réfère le Ministère public (AJP 1996, p.1111ss, 1114), le professeur Sigrist évoque un domaine de dispersion des valeurs biologiques de 1'700 à 2'500; si donc le facteur 2'000 se situe légèrement en dessous de la moyenne des valeurs extrêmes, il implique néanmoins un risque d'erreur supplémentaire, si la personne en cause présente, au moment de l'examen, des caractéristiques biologiques correspondant à un facteur compris en 1'700 et 2'000.</w:t>
      </w:r>
    </w:p>
    <w:p>
      <w:r>
        <w:t>En retenant que, dans les conditions relatées par le dossier (abstraction faite, au demeurant, de la troisième mesure alléguée par le prévenu, qui n'aurait révélé qu'un taux de 0,49 ), le constat d'ébriété laissait subsister un doute, le premier juge n'a pas faussement appliqué les dispositions légales.</w:t>
      </w:r>
    </w:p>
    <w:p>
      <w:r>
        <w:t>4.Tout au plus peut-on se demander si, face à un dossier éventuellement lacunaire, le premier juge n'aurait pas dû administrer des preuves supplémentaires (audition de l'un des gendarmes verbalisateurs ou interpellation de la gendarmerie), pour déterminer si, éventuellement, la marge d'imprécision des appareils était prise en compte, sans que cela fût mentionné dans le dossier.</w:t>
      </w:r>
    </w:p>
    <w:p>
      <w:r>
        <w:t>Le recourant n'énonce pas un tel grief, cependant, et la Cour n'a pas à s'en saisir d'office, s'agissant de l'établissement des faits.</w:t>
      </w:r>
    </w:p>
    <w:p>
      <w:r>
        <w:t>Le pourvoi sera dès lors rejeté et les frais resteront à la  charge de l'Etat.</w:t>
      </w:r>
    </w:p>
    <w:p>
      <w:r>
        <w:t>Par ces motifs,LA COUR DE CASSATION PENALE</w:t>
      </w:r>
    </w:p>
    <w:p>
      <w:r>
        <w:t>1.Rejette le pourvoi.</w:t>
      </w:r>
    </w:p>
    <w:p>
      <w:r>
        <w:t>2.Laisse les frais à la charge de l'Etat.</w:t>
      </w:r>
    </w:p>
    <w:p>
      <w:r>
        <w:t>Neuchâtel, le 9 octobre 2006</w:t>
      </w:r>
    </w:p>
    <w:p>
      <w:r>
        <w:t>AU NOM DE LA COUR DE CASSATION PENALE</w:t>
      </w:r>
    </w:p>
    <w:p>
      <w:r>
        <w:t>Le greffier                                               L'un des juges</w:t>
      </w:r>
    </w:p>
    <w:p>
      <w:r>
        <w:t>Conducteurs se trouvant dans lincapacité de conduire</w:t>
      </w:r>
    </w:p>
    <w:p>
      <w:r>
        <w:t>1Quiconque a conduit un véhicule automobile en état débriété, est puni de lamende. La peine sera une peine privative de liberté de trois ans au plus ou une peine pécuniaire lorsque le taux dalcoolémie est qualifié (art. 55, al. 6).</w:t>
      </w:r>
    </w:p>
    <w:p>
      <w:r>
        <w:t>2Quiconque a conduit un véhicule automobile alors quil se trouvait dans lincapacité de conduire pour dautres raisons est puni dune peine privative de liberté de trois ans au plus ou dune peine pécuniaire.2</w:t>
      </w:r>
    </w:p>
    <w:p>
      <w:r>
        <w:t>3Quiconque a conduit un véhicule sans moteur alors quil se trouvait dans lincapacité de conduire est puni de lamende.</w:t>
      </w:r>
    </w:p>
    <w:p>
      <w:r>
        <w:t>1Nouvelle teneur selon le ch. I de la LF du 14 déc. 2001, en vigueur depuis le 1erjanv. 2005 (RO20022767,20042849;FF19994106).2Rectifié par la Commission de rédaction de lAss. féd. (art. 58, al. 1, LParl  RS HYPERLINK "http://www.bk.admin.ch/ch/f/rs/c171_10.html" ).</w:t>
      </w:r>
    </w:p>
    <w:p>
      <w:r>
        <w:t>1Le contrôle effectué au moyen de léthylomètre ne peut avoir lieu que vingt minutes au plus tôt après la dernière consommation dalcool ou après que la personne contrôlée sest rincé la bouche.</w:t>
      </w:r>
    </w:p>
    <w:p>
      <w:r>
        <w:t>2Les contrôles doivent être effectués au moyen déthylomètres qui:</w:t>
      </w:r>
    </w:p>
    <w:p>
      <w:r>
        <w:t>a.</w:t>
      </w:r>
    </w:p>
    <w:p>
      <w:r>
        <w:t>permettent des mesures dans une fourchette correspondant à un taux dalcool dans le sang de 0,20 à 3,00 pour mille;</w:t>
      </w:r>
    </w:p>
    <w:p>
      <w:r>
        <w:t>b.</w:t>
      </w:r>
    </w:p>
    <w:p>
      <w:r>
        <w:t>permettent des mesures dune précision de 0,05 pour mille dans une fourchette correspondant à un taux dalcool dans le sang de 0,02 à 1,00 pour mille, et</w:t>
      </w:r>
    </w:p>
    <w:p>
      <w:r>
        <w:t>c.</w:t>
      </w:r>
    </w:p>
    <w:p>
      <w:r>
        <w:t>convertissent le taux dalcool mesuré dans lhaleine (mg/l) avec un facteur de 2000 en taux dalcool dans le sang (g/kg).</w:t>
      </w:r>
    </w:p>
    <w:p>
      <w:r>
        <w:t>3Il y a lieu deffectuer deux mesures. Si lécart entre leurs résultats donne une valeur correspondant à un taux dalcool dans le sang supérieur à 0,10 pour mille, il convient de procéder à deux nouvelles mesures. Si la différence dépasse de nouveau 0,10 pour mille, lart. 140, al. 1, let. c, est applicable.</w:t>
      </w:r>
    </w:p>
    <w:p>
      <w:r>
        <w:t>4Lincapacité de conduire de la personne concernée est réputée établie lorsque le résultat inférieur des deux mesures correspond à un taux dalcool dans le sang de 0,50 pour mille ou plus, mais de moins de 0,80 et que la personne concernée reconnaît cette valeur.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