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CCP.2000.21 vom 9. August 2000</w:t>
      </w:r>
    </w:p>
    <w:p>
      <w:r>
        <w:t>NE Tribunal cantonal, 2000-08-09, FR</w:t>
      </w:r>
    </w:p>
    <w:p>
      <w:r>
        <w:rPr>
          <w:b/>
        </w:rPr>
        <w:t xml:space="preserve">Quelle: </w:t>
      </w:r>
      <w:r>
        <w:t>https://mcp.opencaselaw.ch/entscheid/ne_gerichte_CCP.2000.21</w:t>
      </w:r>
    </w:p>
    <w:p>
      <w:r>
        <w:t>FR: NE_GERICHTE CCP.2000.21 du 9 août 2000</w:t>
      </w:r>
    </w:p>
    <w:p>
      <w:r>
        <w:t>IT: NE_GERICHTE CCP.2000.21 del 9 agosto 2000</w:t>
      </w:r>
    </w:p>
    <w:p>
      <w:pPr>
        <w:pStyle w:val="Heading2"/>
      </w:pPr>
      <w:r>
        <w:t>Erwägungen</w:t>
      </w:r>
    </w:p>
    <w:p>
      <w:r>
        <w:rPr>
          <w:b/>
        </w:rPr>
        <w:t>E. 1</w:t>
      </w:r>
    </w:p>
    <w:p>
      <w:r>
        <w:t>Interjeté dans les formes et délai légaux (art.244 CPP), le pourvoi est recevable.</w:t>
      </w:r>
    </w:p>
    <w:p>
      <w:r>
        <w:rPr>
          <w:b/>
        </w:rPr>
        <w:t>E. 2</w:t>
      </w:r>
    </w:p>
    <w:p>
      <w:r>
        <w:t>a) L'article 123 CP réprime les lésions au corps humain et à la santé qui ne peuvent être qualifiées de graves au sens de l'article 122 CP. Cette disposition protège l'intégrité corporelle et la santé tant physique que psychique. L'article 123 ch.2 CP prévoit des cas aggravés en raison ou de la nature de l'objet utilisé, ou de l'état personnel de la victime. Ces circonstances aggravantes dénotent soit le caractère dangereux du comportement, soit la nature vile et basse de l'auteur. Contrairement aux lésions corporelles graves, les lésions simples aggravées ne se caractérisent donc pas par l'étendue du dommage provoqué. La notion d'arme a donné lieu à une controverse doctrinale ( Hurtado Pozo , Le droit pénal, partie spéciale I, 3e éd., n.437 ss, p.123-4). Le Tribunal fédéral (ATF 112 IV 13 = JT 1986 IV 98, ATF 113 IV 61 = JT 1988 IV 38), ainsi qu'une partie de la doctrine ( Corboz , Les principales infractions, 1997, p.78; Schubarth , Kommentar zum schweizerischen Strafrecht, no 71 ad art.123 CP) penchent pour une interprétation extensive de la notion d'armes, dans laquelle entre tout instrument "conçu pour attaquer et se défendre". D'autres auteurs ont adoptés une interprétation plus restrictive selon laquelle, pour être qualifiée comme telle, l'arme doit être destinée à causer la mort ou des lésions corporelles graves ( Trechsel , Schweizerisches Strafgesetzbuch, Kurzkommentar, n.6 ad art. 123 CP; Stratenwerth, Schweizerisches Strafrecht, BT I, 5e éd., n.26, p.65; Rehberg / Schmidt , Strafrecht III, Delikte gegen den Einzelnen, 6e éd., p.31). b) La question se pose ainsi de savoir si le spray en question doit être considéré comme une arme selon l'article 123 ch.2 al.2 CP. Certes, la jurisprudence du Tribunal fédéral précitée est antérieure à la révision de la loi fédérale sur les armes et à son ordonnance d'exécution, selon laquelle seuls tombent sous le coup de la loi les sprays de défense 1 et 2 (et non le 3 comme en l'espèce). Elle ne saurait ainsi s'appliquer telle quelle, sans faire l'objet d'un nouvel examen. Toutefois, compte tenu des cadres différents dans lesquels s'inscrivent le code pénal d'une part, et la législation sur les armes d'autre part, la notion d'arme ne recouvre pas la même réalité dans l'une et l'autre législation (à ce sujet Weissenberger, AJP/PJA 2/2000 p.156). Il n'en demeure pas moins que l'interprétation relativement extensive du Tribunal fédéral garde tout son poids en face de celle restrictive d'une partie de la doctrine. On ne comprend en particulier pas pourquoi en l'absence de toute précision figurant à l'article 123 ch.2 al.2 CP, seules tomberaient sous le coup de cette notion les armes destinées à provoquer la mort ou des lésions corporelles graves. La question peut toutefois rester indécise en l'espèce dès lors que le comportement du recourant tombe à tout le moins sous le coup de l'article 123 ch.1 CP. Contrairement à ce que retient le premier juge, une plainte a été valablement déposée (D 199, 203), même si l'instruction de cette dernière, dans sa globalité, a été, assurément à tort, suspendue (D 171). Ainsi, objectivement, le comportement du recourant tombe en tous les cas sous le coup de l'article 123 ch.1 CP.</w:t>
      </w:r>
    </w:p>
    <w:p>
      <w:r>
        <w:rPr>
          <w:b/>
        </w:rPr>
        <w:t>E. 3</w:t>
      </w:r>
    </w:p>
    <w:p>
      <w:r>
        <w:t>a) Il ne peut y avoir infraction à l'article 123 CP que si l'auteur a agi intentionnellement ou par dol éventuel. Il y a dol éventuel lorsque l'auteur envisage le résultat dommageable, mais agit néanmoins, même s'il ne le souhaite pas, parce qu'il s'en accommode pour le cas où il se produirait. Cette hypothèse doit être distinguée de la négligence consciente où l'auteur, faisant preuve d'une imprévoyance coupable, envisage l'événement du résultat dommageable mais escompte que celui-ci -qu' il refuse- ne se produira pas (ATF 119 IV 3). Ce qu'une personne fait, veut, envisage ou accepte et ce dont elle s'accommode relève du fait et lie la Cour de céans en vertu de l'article 251 al.2 CPP. Toutefois, la qualification des éléments de fait de dol éventuel, négligences consciente ou inconsciente etc… relève du droit, de sorte que la Cour de cassation pénale, à l'instar du Tribunal fédéral, peut revoir si le dol éventuel a été retenu à juste titre. Parmi les événements extérieurs permettant de conclure que l'auteur a accepté la survenance du résultat dommageable figure notamment la probabilité de la réalisation du risque et l'importance de la violation du devoir de prudence. Plus celles-ci sont grandes, plus sera fondée la conclusion que l'auteur, malgré d'éventuelles dénégations, avait accepté l'éventualité de la réalisation du résultat dommageable (ATF 119 IV 3). b) En l'espèce, le premier juge a retenu que l'acte du recourant était intentionnel (jugement p.14). Même si on ne peut effectivement estimer que le recourant ait eu l'intention de causer une lésion corporelle (art. 123 CP) au lieu d'une simple atteinte à l'intégrité (art.126 CP), il faut cependant considérer qu'en giclant, à bout portant, le visage et les yeux de D.  avec un spray lacrymogène, il en acceptait les conséquences, qui furent en l'espèce des lésions corporelles, agissant pour le moins par dol éventuel. Il est en effet notoire que les lésions qui résultent de l'utilisation de ce genre de spray dépendent de l'aptitude de la victime à se protéger. Il est tout aussi notoire que ce genre d'instrument  d'auto-défense est destiné à parer à des situations périlleuses, dans lesquelles la personne qui en fait usage risque gros, si bien qu'il ne faut pas s'étonner qu'il puisse provoquer des lésions qui, bien que passagères, peuvent néanmoins être d'une certaine importance. Le recourant cite l'affaire S. , laquelle ne lui est d'aucun secours. En effet, et même si ce dernier a subi une atteinte qui se situe à la limite des voies de fait et des lésions corporelles (jugement p.15), ces faits sont intervenus chronologiquement après l'utilisation du spray contre D. , ce qui signifie que le recourant ne peut s'en prévaloir pour prétendre qu'il pensait qu'il en irait à chaque fois ainsi. On peut d'ailleurs s'étonner que, quelques jours après avoir occasionné chez sa victime des lésions ayant entraîné une incapacité de travail de 4 jours, le recourant utilise à nouveau un tel spray. C'est ainsi à juste titre que le premier juge a considéré que l'élément subjectif de l'infraction était réalisé.</w:t>
      </w:r>
    </w:p>
    <w:p>
      <w:r>
        <w:rPr>
          <w:b/>
        </w:rPr>
        <w:t>E. 4</w:t>
      </w:r>
    </w:p>
    <w:p>
      <w:r>
        <w:t>a) Le juge fixe la peine d'après la culpabilité du délinquant, en tenant compte des mobiles, des antécédents et de la situation personnelle de celui-ci (art.63 CP). Le premier juge jouit en la matière d'un large pouvoir d'appréciation. La Cour de cassation pénale, comme le Tribunal fédéral, n'intervient que s'il a outrepassé son pouvoir d'appréciation en prononçant un jugement manifestement insoutenable parce qu'arbitrairement sévère ou clément, aboutissant à un résultat gravement choquant, inexplicable, en contradiction avec les motifs ou fondé sur des critères dénués de pertinence. La Cour doit également annuler un jugement lorsqu'elle n'est pas en mesure de déterminer si tous les éléments qui doivent être pris en considération ont été correctement évalués, c'est-à-dire si la motivation est insuffisante pour permettre de contrôler le respect de l'article 63 CP (ATF 116 IV 290-292, 117 IV 112, 118 IV 18, Corboz , La motivation de la peine, in RSJB 1995 p.1 ss). b) En l'espèce, le premier juge a tenu compte des antécédents du recourant, ainsi que de sa culpabilité, qu'il a considéré comme "assez lourde" dans la mesure où une lésion corporelle simple a été causée avec un spray dit de défense, d'autant que la victime, elle, n'était pas munie d'un tel objet. Au vu des faits retenus contre le recourant, la peine de 10 jours d'emprisonnement prononcée par le premier juge, quoique d'une certaine sévérité n'apparaît pas disproportionnée ou arbitraire. On relèvera que le premier juge n'a pas retenu que le recourant avait agi en état de légitime défense, ce qu'il n'a d'ailleurs plus prétendu.</w:t>
      </w:r>
    </w:p>
    <w:p>
      <w:r>
        <w:rPr>
          <w:b/>
        </w:rPr>
        <w:t>E. 5</w:t>
      </w:r>
    </w:p>
    <w:p>
      <w:r>
        <w:t>Mal fondé, le recours doit être rejeté et les frais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