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CCP.1998.6665 vom 18. September 1998</w:t>
      </w:r>
    </w:p>
    <w:p>
      <w:r>
        <w:t>NE Tribunal cantonal, 1998-09-18, FR</w:t>
      </w:r>
    </w:p>
    <w:p>
      <w:r>
        <w:rPr>
          <w:b/>
        </w:rPr>
        <w:t xml:space="preserve">Quelle: </w:t>
      </w:r>
      <w:r>
        <w:t>https://mcp.opencaselaw.ch/entscheid/ne_gerichte_CCP.1998.6665</w:t>
      </w:r>
    </w:p>
    <w:p>
      <w:r>
        <w:t>FR: NE_GERICHTE CCP.1998.6665 du 18 septembre 1998</w:t>
      </w:r>
    </w:p>
    <w:p>
      <w:r>
        <w:t>IT: NE_GERICHTE CCP.1998.6665 del 18 settembre 1998</w:t>
      </w:r>
    </w:p>
    <w:p>
      <w:pPr>
        <w:pStyle w:val="Heading2"/>
      </w:pPr>
      <w:r>
        <w:t>Volltext</w:t>
      </w:r>
    </w:p>
    <w:p>
      <w:r>
        <w:t>A.      Le dimanche 2 mars 1997, vers 20 h 35, V. a été interpellé par</w:t>
      </w:r>
    </w:p>
    <w:p>
      <w:r>
        <w:t>la police, suite à un appel d'un agent Securitas, alors qu'il circulait</w:t>
      </w:r>
    </w:p>
    <w:p>
      <w:r>
        <w:t>muni d'un permis d'élève conducteur en compagnie de B. , au sud du tunnel</w:t>
      </w:r>
    </w:p>
    <w:p>
      <w:r>
        <w:t>de Prébarreau, à Neuchâtel.</w:t>
      </w:r>
    </w:p>
    <w:p>
      <w:r>
        <w:t>Après avoir été soumis à un contrôle de l'haleine ainsi que son</w:t>
      </w:r>
    </w:p>
    <w:p>
      <w:r>
        <w:t>passager, il a été conduit à l'hôpital des Cadolles où une prise de sang a</w:t>
      </w:r>
    </w:p>
    <w:p>
      <w:r>
        <w:t>révélé un taux d'alcoolémie de 0,63 %o à 0,73 %o à 23 h 15.</w:t>
      </w:r>
    </w:p>
    <w:p>
      <w:r>
        <w:t>V.  a déclaré à la police qu'il rentrait de Concise (VD). C'est</w:t>
      </w:r>
    </w:p>
    <w:p>
      <w:r>
        <w:t>son ami qui avait conduit jusqu'à Bevaix. Comme ce dernier était fatigué,</w:t>
      </w:r>
    </w:p>
    <w:p>
      <w:r>
        <w:t>il lui avait laissé prendre le volant jusqu'à Neuchâtel. Il expliquait</w:t>
      </w:r>
    </w:p>
    <w:p>
      <w:r>
        <w:t>avoir bu la veille et jusqu'à 9 h 00 le lendemain matin deux pastis, 2 dl</w:t>
      </w:r>
    </w:p>
    <w:p>
      <w:r>
        <w:t>de vin rouge, deux "Williamine", trois bières et un cocktail alcoolisé.</w:t>
      </w:r>
    </w:p>
    <w:p>
      <w:r>
        <w:t>Depuis 9 h 00 du matin, il n'avait plus consommé d'alcool.</w:t>
      </w:r>
    </w:p>
    <w:p>
      <w:r>
        <w:t>Prévenu d'avoir circulé en état d'ébriété, V.  a été renvoyé</w:t>
      </w:r>
    </w:p>
    <w:p>
      <w:r>
        <w:t>devant le Tribunal de police du district de Neuchâtel ainsi que B. .</w:t>
      </w:r>
    </w:p>
    <w:p>
      <w:r>
        <w:t>B.      Par jugement du 8 juillet 1997, le président du Tribunal de</w:t>
      </w:r>
    </w:p>
    <w:p>
      <w:r>
        <w:t>police a condamné V.  pour conduite en état d'ébriété à une peine d'amende</w:t>
      </w:r>
    </w:p>
    <w:p>
      <w:r>
        <w:t>de 400 francs avec possibilité de radiation anticipée au casier judiciaire</w:t>
      </w:r>
    </w:p>
    <w:p>
      <w:r>
        <w:t>après deux ans, ainsi qu'à une part de frais de justice arrêtée à 550</w:t>
      </w:r>
    </w:p>
    <w:p>
      <w:r>
        <w:t>francs.</w:t>
      </w:r>
    </w:p>
    <w:p>
      <w:r>
        <w:t>Le premier juge a estimé que contrairement à l'opinion exprimée</w:t>
      </w:r>
    </w:p>
    <w:p>
      <w:r>
        <w:t>par la Commission administrative du service cantonal des automobiles, un</w:t>
      </w:r>
    </w:p>
    <w:p>
      <w:r>
        <w:t>calcul rétrospectif du taux d'alcoolémie au moment des faits pouvait être</w:t>
      </w:r>
    </w:p>
    <w:p>
      <w:r>
        <w:t>établi, la phase de résorption de l'alcool dans le sang étant à coup sûr</w:t>
      </w:r>
    </w:p>
    <w:p>
      <w:r>
        <w:t>terminée. Il a retenu que l'alcoolémie du prévenu était au moins de 0,93</w:t>
      </w:r>
    </w:p>
    <w:p>
      <w:r>
        <w:t>%o lorsqu'il avait pris le volant.</w:t>
      </w:r>
    </w:p>
    <w:p>
      <w:r>
        <w:t>Pour fixer la quotité de la peine, il a tenu compte du fait que</w:t>
      </w:r>
    </w:p>
    <w:p>
      <w:r>
        <w:t>les prévenus avaient attendu assez longtemps avant de reprendre le volant,</w:t>
      </w:r>
    </w:p>
    <w:p>
      <w:r>
        <w:t>l'absence d'antécédents judiciaires et les revenus modestes de ceux-ci,</w:t>
      </w:r>
    </w:p>
    <w:p>
      <w:r>
        <w:t>ainsi que l'importance des frais de justice.</w:t>
      </w:r>
    </w:p>
    <w:p>
      <w:r>
        <w:t>C. V.  se pourvoit en cassation contre ce jugement, en concluant à</w:t>
      </w:r>
    </w:p>
    <w:p>
      <w:r>
        <w:t>son acquittement. Il soutient en bref que c'est à tort que le premier juge</w:t>
      </w:r>
    </w:p>
    <w:p>
      <w:r>
        <w:t>a retenu un taux d'alcoolémie supérieur à la limite de 0,8 %o, se référant</w:t>
      </w:r>
    </w:p>
    <w:p>
      <w:r>
        <w:t>à la décision de la Commission administrative du 14 mars 1997. En tout</w:t>
      </w:r>
    </w:p>
    <w:p>
      <w:r>
        <w:t>état de cause, si l'ivresse au volant devait être retenue, il demande à ce</w:t>
      </w:r>
    </w:p>
    <w:p>
      <w:r>
        <w:t>que ses antécédents et sa situation financière modeste soient pris en</w:t>
      </w:r>
    </w:p>
    <w:p>
      <w:r>
        <w:t>considération pour la fixation de la peine.</w:t>
      </w:r>
    </w:p>
    <w:p>
      <w:r>
        <w:t>D.      Le président du Tribunal du district de Neuchâtel ne formule pas</w:t>
      </w:r>
    </w:p>
    <w:p>
      <w:r>
        <w:t>d'observations. Le substitut du procureur général conclut au rejet du re-</w:t>
      </w:r>
    </w:p>
    <w:p>
      <w:r>
        <w:t>cours sans formuler d'observations.</w:t>
      </w:r>
    </w:p>
    <w:p>
      <w:r>
        <w:t>C O N S I D E R A N T</w:t>
      </w:r>
    </w:p>
    <w:p>
      <w:r>
        <w:t>e n  d r o i t</w:t>
      </w:r>
    </w:p>
    <w:p>
      <w:r>
        <w:t>1. Interjeté dans le délai utile de dix jours dès réception du</w:t>
      </w:r>
    </w:p>
    <w:p>
      <w:r>
        <w:t>jugement attaqué, le recours est recevable à cet égard (art.244 CPP).</w:t>
      </w:r>
    </w:p>
    <w:p>
      <w:r>
        <w:t>Le recours se présente sous une forme relativement succincte.</w:t>
      </w:r>
    </w:p>
    <w:p>
      <w:r>
        <w:t>Toutefois, il n'y a pas lieu de poser des exigences trop sévères concer-</w:t>
      </w:r>
    </w:p>
    <w:p>
      <w:r>
        <w:t>nant la manière dont les motifs invoqués doivent être présentés dans le</w:t>
      </w:r>
    </w:p>
    <w:p>
      <w:r>
        <w:t>pourvoi, en particulier lorsque le recourant agit sans le concours d'un</w:t>
      </w:r>
    </w:p>
    <w:p>
      <w:r>
        <w:t>avocat. Une référence formelle à tel ou tel moyen déterminé de recours</w:t>
      </w:r>
    </w:p>
    <w:p>
      <w:r>
        <w:t>n'est pas nécessaire. Il importe seulement que l'on puisse effectivement</w:t>
      </w:r>
    </w:p>
    <w:p>
      <w:r>
        <w:t>déduire du pourvoi ce que le recourant reproche au premier juge et pour</w:t>
      </w:r>
    </w:p>
    <w:p>
      <w:r>
        <w:t>quelle raison il lui en est fait grief, ce qui est réalisé en l'espèce. Le</w:t>
      </w:r>
    </w:p>
    <w:p>
      <w:r>
        <w:t>pourvoi est ainsi recevable.</w:t>
      </w:r>
    </w:p>
    <w:p>
      <w:r>
        <w:t>2.      La détermination de l'alcoolémie au moment de la prise de sang</w:t>
      </w:r>
    </w:p>
    <w:p>
      <w:r>
        <w:t>ainsi que lors de l'infraction, est une constatation de fait (ATF 116 IV</w:t>
      </w:r>
    </w:p>
    <w:p>
      <w:r>
        <w:t>75 cons.4). En revanche, décider, sur le vu d'un état éthylique donné, que</w:t>
      </w:r>
    </w:p>
    <w:p>
      <w:r>
        <w:t>le conducteur est "pris de boisson" au sens de l'article 91 LCR, c'est</w:t>
      </w:r>
    </w:p>
    <w:p>
      <w:r>
        <w:t>résoudre une question de droit (Bussy/Rusconi, Code suisse de la circula-</w:t>
      </w:r>
    </w:p>
    <w:p>
      <w:r>
        <w:t>tion routière, Commentaire, 2ème éd., Lausanne 1984, ad. art.91 LCR,</w:t>
      </w:r>
    </w:p>
    <w:p>
      <w:r>
        <w:t>n.2.5; ATF 100 IV 268).</w:t>
      </w:r>
    </w:p>
    <w:p>
      <w:r>
        <w:t>Pour apprécier le taux d'alcoolémie du prévenu au moment de la</w:t>
      </w:r>
    </w:p>
    <w:p>
      <w:r>
        <w:t>conduite (soit en l'espèce entre 20 h 00 et 20 h 30), le premier juge</w:t>
      </w:r>
    </w:p>
    <w:p>
      <w:r>
        <w:t>s'est fondé sur les directives de la société suisse de médecine légale.</w:t>
      </w:r>
    </w:p>
    <w:p>
      <w:r>
        <w:t>Selon ces directives, un calcul en retour doit être fait en ajoutant un</w:t>
      </w:r>
    </w:p>
    <w:p>
      <w:r>
        <w:t>taux d'élimination moyen de 0,1 gr/kg par heure au minimum (Gujer,</w:t>
      </w:r>
    </w:p>
    <w:p>
      <w:r>
        <w:t>L'alcool au volant, in Journées du droit de la circulation routière,</w:t>
      </w:r>
    </w:p>
    <w:p>
      <w:r>
        <w:t>Fribourg, 1988, p.2; Directives pour l'interprétation médicale de</w:t>
      </w:r>
    </w:p>
    <w:p>
      <w:r>
        <w:t>l'alcoolémie qui touche les problèmes de la résorption et de l'élimination</w:t>
      </w:r>
    </w:p>
    <w:p>
      <w:r>
        <w:t>de l'alcool dans le sang).</w:t>
      </w:r>
    </w:p>
    <w:p>
      <w:r>
        <w:t>Or, le prévenu ayant admis n'avoir plus touché de boissons</w:t>
      </w:r>
    </w:p>
    <w:p>
      <w:r>
        <w:t>alcoolisées depuis 09 h 00 du matin, c'est à juste titre qu'il a été admis</w:t>
      </w:r>
    </w:p>
    <w:p>
      <w:r>
        <w:t>que la phase de résorption était terminée et qu'il était possible d'ef-</w:t>
      </w:r>
    </w:p>
    <w:p>
      <w:r>
        <w:t>fectuer le calcul rétrospectif. Trois heures s'étant écoulées entre la</w:t>
      </w:r>
    </w:p>
    <w:p>
      <w:r>
        <w:t>conduite et la prise de sang, il n'était ainsi pas arbitraire d'ajouter</w:t>
      </w:r>
    </w:p>
    <w:p>
      <w:r>
        <w:t>0,3 gr/kg à la mesure minimale retenue par l'intervalle de confiance. Le</w:t>
      </w:r>
    </w:p>
    <w:p>
      <w:r>
        <w:t>juge avait l'obligation de procéder à ce calcul, puisque la première</w:t>
      </w:r>
    </w:p>
    <w:p>
      <w:r>
        <w:t>question que le Tribunal de police avait à résoudre était celle de savoir</w:t>
      </w:r>
    </w:p>
    <w:p>
      <w:r>
        <w:t>si, au moment où V.  a conduit le véhicule, il avait atteint le seuil de</w:t>
      </w:r>
    </w:p>
    <w:p>
      <w:r>
        <w:t>0,8 gr/kg à partir duquel les autres preuves ou particularités</w:t>
      </w:r>
    </w:p>
    <w:p>
      <w:r>
        <w:t>individuelles n'ont plus cours (RJN 4 II 185; ATF 90 IV 159). Ainsi que le</w:t>
      </w:r>
    </w:p>
    <w:p>
      <w:r>
        <w:t>mentionne le recourant, la pratique de l'éthylomètre ne constitue qu'un</w:t>
      </w:r>
    </w:p>
    <w:p>
      <w:r>
        <w:t>"test d'orientation" pour déterminer l'alcoolémie approximative (v.</w:t>
      </w:r>
    </w:p>
    <w:p>
      <w:r>
        <w:t>l'Etude précitée de Gujer, p.2). C'est précisément pour cette raison</w:t>
      </w:r>
    </w:p>
    <w:p>
      <w:r>
        <w:t>qu'une prise de sang a été ordonnée ensuite par la police. Le recours est</w:t>
      </w:r>
    </w:p>
    <w:p>
      <w:r>
        <w:t>ainsi mal fondé sur ce point, le jugement n'étant pas entaché d'arbitraire</w:t>
      </w:r>
    </w:p>
    <w:p>
      <w:r>
        <w:t>dans l'appréciation des faits.</w:t>
      </w:r>
    </w:p>
    <w:p>
      <w:r>
        <w:t>3.      Le recourant se réfère également à la décision de la Commission</w:t>
      </w:r>
    </w:p>
    <w:p>
      <w:r>
        <w:t>administrative qui a estimé qu'il était impossible de procéder à un calcul</w:t>
      </w:r>
    </w:p>
    <w:p>
      <w:r>
        <w:t>rétrospectif et s'en est tenu à un taux d'alcoolémie inférieur à 0,8 %o</w:t>
      </w:r>
    </w:p>
    <w:p>
      <w:r>
        <w:t>pour justifier l'abandon de toute mesure à son encontre.</w:t>
      </w:r>
    </w:p>
    <w:p>
      <w:r>
        <w:t>Le principe de la séparation des pouvoirs implique que les dif-</w:t>
      </w:r>
    </w:p>
    <w:p>
      <w:r>
        <w:t>férents tribunaux sont en principe indépendants les uns des autres et que</w:t>
      </w:r>
    </w:p>
    <w:p>
      <w:r>
        <w:t>lorsqu'ils se prononcent sur les mêmes faits, ils tranchent librement les</w:t>
      </w:r>
    </w:p>
    <w:p>
      <w:r>
        <w:t>questions de leur ressort et aucun d'entre eux n'est limité par la dé-</w:t>
      </w:r>
    </w:p>
    <w:p>
      <w:r>
        <w:t>cision de l'autre ni par les considérants, ni par le dispositif (Piquerez,</w:t>
      </w:r>
    </w:p>
    <w:p>
      <w:r>
        <w:t>Précis de procédure pénale suisse, Lausanne, 1987, p.26 no 56).  Par con-</w:t>
      </w:r>
    </w:p>
    <w:p>
      <w:r>
        <w:t>séquent, le juge pénal examinera librement toutes les questions de fait et</w:t>
      </w:r>
    </w:p>
    <w:p>
      <w:r>
        <w:t>de droit qui se présentent à lui, sans se tenir pour lié par les constata-</w:t>
      </w:r>
    </w:p>
    <w:p>
      <w:r>
        <w:t>tions et les déductions de l'autorité ou de la juridiction administrative</w:t>
      </w:r>
    </w:p>
    <w:p>
      <w:r>
        <w:t>(Grisel, Traité de droit administratif, t.I, Neuchâtel, 1984, p.186).</w:t>
      </w:r>
    </w:p>
    <w:p>
      <w:r>
        <w:t>En l'espèce, le premier juge n'était donc pas tenu de suivre la</w:t>
      </w:r>
    </w:p>
    <w:p>
      <w:r>
        <w:t>décision de la Commission. On peut d'ailleurs regretter que cette dernière</w:t>
      </w:r>
    </w:p>
    <w:p>
      <w:r>
        <w:t>n'ait pas suivi la jurisprudence récente du Tribunal fédéral qui enjoint</w:t>
      </w:r>
    </w:p>
    <w:p>
      <w:r>
        <w:t>l'autorité administrative à surseoir à statuer jusqu'à droit connu sur le</w:t>
      </w:r>
    </w:p>
    <w:p>
      <w:r>
        <w:t>plan pénal, si l'intéressé fait ou va probablement faire l'objet d'une</w:t>
      </w:r>
    </w:p>
    <w:p>
      <w:r>
        <w:t>dénonciation pénale (RJN 1994, p.186).</w:t>
      </w:r>
    </w:p>
    <w:p>
      <w:r>
        <w:t>4. Quant à l'intervention du garde Securitas, il s'agit d'un moyen</w:t>
      </w:r>
    </w:p>
    <w:p>
      <w:r>
        <w:t>nouveau, irrecevable. De toutes façons il est irrelevant, du moment qu'il</w:t>
      </w:r>
    </w:p>
    <w:p>
      <w:r>
        <w:t>n'apparaît pas que la procédure ait été entachée d'irrégularités, le garde</w:t>
      </w:r>
    </w:p>
    <w:p>
      <w:r>
        <w:t>Securitas ayant été entendu comme témoin et tous les contrôles relatifs à</w:t>
      </w:r>
    </w:p>
    <w:p>
      <w:r>
        <w:t>la détection de l'ivresse ayant été effectués par la police.</w:t>
      </w:r>
    </w:p>
    <w:p>
      <w:r>
        <w:t>5. Enfin, contrairement à ce qu'affirme le recourant, le premier</w:t>
      </w:r>
    </w:p>
    <w:p>
      <w:r>
        <w:t>juge a correctement appliqué les critères de fixation de la peine (art.63</w:t>
      </w:r>
    </w:p>
    <w:p>
      <w:r>
        <w:t>CP) et a pris en compte tant l'absence d'antécédent que la situation fi-</w:t>
      </w:r>
    </w:p>
    <w:p>
      <w:r>
        <w:t>nancière difficile du prévenu (jugement, p.4).</w:t>
      </w:r>
    </w:p>
    <w:p>
      <w:r>
        <w:t>6.      En conséquence, le recours se révèle mal fondé dans son ensemble</w:t>
      </w:r>
    </w:p>
    <w:p>
      <w:r>
        <w:t>et doit être rejeté, les frais étant mis à la charge du recourant.</w:t>
      </w:r>
    </w:p>
    <w:p>
      <w:r>
        <w:t>Par ces motifs,</w:t>
      </w:r>
    </w:p>
    <w:p>
      <w:r>
        <w:t>LA COUR DE CASSATION PENALE</w:t>
      </w:r>
    </w:p>
    <w:p>
      <w:r>
        <w:t>1. Rejette le pourvoi.</w:t>
      </w:r>
    </w:p>
    <w:p>
      <w:r>
        <w:t>2. Met les frais de justice, arrêtés à 440 francs, à la charge du</w:t>
      </w:r>
    </w:p>
    <w:p>
      <w:r>
        <w:t>recourant.</w:t>
      </w:r>
    </w:p>
    <w:p>
      <w:r>
        <w:t>Neuchâtel, le 18 septembre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