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CCP.1998.6608 vom 20. Juli 1998</w:t>
      </w:r>
    </w:p>
    <w:p>
      <w:r>
        <w:t>NE Tribunal cantonal, 1998-07-20, FR</w:t>
      </w:r>
    </w:p>
    <w:p>
      <w:r>
        <w:rPr>
          <w:b/>
        </w:rPr>
        <w:t xml:space="preserve">Quelle: </w:t>
      </w:r>
      <w:r>
        <w:t>https://mcp.opencaselaw.ch/entscheid/ne_gerichte_CCP.1998.6608</w:t>
      </w:r>
    </w:p>
    <w:p>
      <w:r>
        <w:t>FR: NE_GERICHTE CCP.1998.6608 du 20 juillet 1998</w:t>
      </w:r>
    </w:p>
    <w:p>
      <w:r>
        <w:t>IT: NE_GERICHTE CCP.1998.6608 del 20 luglio 1998</w:t>
      </w:r>
    </w:p>
    <w:p>
      <w:pPr>
        <w:pStyle w:val="Heading2"/>
      </w:pPr>
      <w:r>
        <w:t>Volltext</w:t>
      </w:r>
    </w:p>
    <w:p>
      <w:r>
        <w:t>A. D.  et J.  étaient copropriétaires d'une chienne de race husky,</w:t>
      </w:r>
    </w:p>
    <w:p>
      <w:r>
        <w:t>née le 20 octobre 1996. Aux alentours du 14 mai 1997, ils ont emménagé</w:t>
      </w:r>
    </w:p>
    <w:p>
      <w:r>
        <w:t>avec leur chien dans un appartement situé à la rue de la Fiaz 15 à La</w:t>
      </w:r>
    </w:p>
    <w:p>
      <w:r>
        <w:t>Chaux-de-Fonds.</w:t>
      </w:r>
    </w:p>
    <w:p>
      <w:r>
        <w:t>Les 16 et 18 mai 1997, le chien a fait ses besoins dans l'appar-</w:t>
      </w:r>
    </w:p>
    <w:p>
      <w:r>
        <w:t>tement et sur le balcon. J.  lui a alors administré à plusieurs reprises</w:t>
      </w:r>
    </w:p>
    <w:p>
      <w:r>
        <w:t>des coups violents, dont des coups de pied.</w:t>
      </w:r>
    </w:p>
    <w:p>
      <w:r>
        <w:t>Par décisions du 29 mai 1997, le vétérinaire cantonal a décidé</w:t>
      </w:r>
    </w:p>
    <w:p>
      <w:r>
        <w:t>le séquestre immédiat du chien de D.  et J.  et leur a interdit pour une</w:t>
      </w:r>
    </w:p>
    <w:p>
      <w:r>
        <w:t>durée indéterminée la détention d'animaux, estimant qu'ils avaient infligé</w:t>
      </w:r>
    </w:p>
    <w:p>
      <w:r>
        <w:t>des corrections excessives à leur chien.</w:t>
      </w:r>
    </w:p>
    <w:p>
      <w:r>
        <w:t>Sur recours de D.  et J. , le chef du Département de l'économie</w:t>
      </w:r>
    </w:p>
    <w:p>
      <w:r>
        <w:t>publique a confirmé, le 23 septembre 1997, les décisions du 29 mai 1997,</w:t>
      </w:r>
    </w:p>
    <w:p>
      <w:r>
        <w:t>estimant que les coups administrés par les</w:t>
      </w:r>
    </w:p>
    <w:p>
      <w:r>
        <w:t>recourants dépassaient la simple correction et que la loi sur la</w:t>
      </w:r>
    </w:p>
    <w:p>
      <w:r>
        <w:t>protection des animaux (LPA) avait été enfreinte.</w:t>
      </w:r>
    </w:p>
    <w:p>
      <w:r>
        <w:t>B.      Par le jugement dont est recours, le Tribunal de police du</w:t>
      </w:r>
    </w:p>
    <w:p>
      <w:r>
        <w:t>district de La Chaux-de-Fonds a condamné D.  à sept jours d'arrêts, avec</w:t>
      </w:r>
    </w:p>
    <w:p>
      <w:r>
        <w:t>sursis pendant un an, 50 francs d'amende et au paiement de sa part des</w:t>
      </w:r>
    </w:p>
    <w:p>
      <w:r>
        <w:t>frais de la cause, arrêtée à 250 francs, en application des articles 149</w:t>
      </w:r>
    </w:p>
    <w:p>
      <w:r>
        <w:t>al.1a de l'ordonnance fédérale sur les épizooties, 47, 52 de la loi</w:t>
      </w:r>
    </w:p>
    <w:p>
      <w:r>
        <w:t>fédérale sur la lutte contre les épizooties, 5, 5bis de la loi sur la taxe</w:t>
      </w:r>
    </w:p>
    <w:p>
      <w:r>
        <w:t>et la police des chiens et 19a LStup. A l'exception de cette dernière</w:t>
      </w:r>
    </w:p>
    <w:p>
      <w:r>
        <w:t>disposition, les mêmes infractions ont été retenues à l'encontre de</w:t>
      </w:r>
    </w:p>
    <w:p>
      <w:r>
        <w:t>J. , qui a été condamnée à 50 francs d'amende et au paiement de sa part</w:t>
      </w:r>
    </w:p>
    <w:p>
      <w:r>
        <w:t>des frais de la cause, arrêtée à 130 francs. En revanche, le Tribunal de</w:t>
      </w:r>
    </w:p>
    <w:p>
      <w:r>
        <w:t>police a jugé que les conditions d'application de l'article 27 al.1 litt.a</w:t>
      </w:r>
    </w:p>
    <w:p>
      <w:r>
        <w:t>LPA n'étaient pas réunies, estimant que des coups comparables à des voies</w:t>
      </w:r>
    </w:p>
    <w:p>
      <w:r>
        <w:t>de fait au sens de l'article 126 CP ne sauraient être qualifiés de mauvais</w:t>
      </w:r>
    </w:p>
    <w:p>
      <w:r>
        <w:t>traitement et que seuls des coups tels que la jurisprudence les admet pour</w:t>
      </w:r>
    </w:p>
    <w:p>
      <w:r>
        <w:t>lésions corporelles simples au sens de l'article 123 CP étaient</w:t>
      </w:r>
    </w:p>
    <w:p>
      <w:r>
        <w:t>punissables.</w:t>
      </w:r>
    </w:p>
    <w:p>
      <w:r>
        <w:t>C.      Le ministère public recourt contre ce jugement, en concluant à</w:t>
      </w:r>
    </w:p>
    <w:p>
      <w:r>
        <w:t>sa cassation dans la mesure où il acquitte les prévenus des infractions</w:t>
      </w:r>
    </w:p>
    <w:p>
      <w:r>
        <w:t>aux articles 22 et 27 LPA. Il reproche au premier juge d'avoir substitué</w:t>
      </w:r>
    </w:p>
    <w:p>
      <w:r>
        <w:t>indûment le critère de la gravité objective de l'atteinte portée au corps,</w:t>
      </w:r>
    </w:p>
    <w:p>
      <w:r>
        <w:t>critère de délimitation entre les lésions corporelles et les voies de</w:t>
      </w:r>
    </w:p>
    <w:p>
      <w:r>
        <w:t>fait, à celui de la mesure existant entre les coups portés à l'animal dans</w:t>
      </w:r>
    </w:p>
    <w:p>
      <w:r>
        <w:t>un but éducatif et la souffrance vraisemblablement ressentie par celui-ci.</w:t>
      </w:r>
    </w:p>
    <w:p>
      <w:r>
        <w:t>D. Dans ses observations, la présidente du Tribunal de police con-</w:t>
      </w:r>
    </w:p>
    <w:p>
      <w:r>
        <w:t>clut au rejet du pourvoi, en affirmant que les gestes des prévenus</w:t>
      </w:r>
    </w:p>
    <w:p>
      <w:r>
        <w:t>n'étaient pas inutilement cruels. En cas de cassation, elle propose que</w:t>
      </w:r>
    </w:p>
    <w:p>
      <w:r>
        <w:t>l'affaire soit renvoyée devant un autre tribunal, au vu de la publicité et</w:t>
      </w:r>
    </w:p>
    <w:p>
      <w:r>
        <w:t>de l'émotion que le jugement entrepris a suscité.</w:t>
      </w:r>
    </w:p>
    <w:p>
      <w:r>
        <w:t>Les intimés ont renoncé à formuler des 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On peut s'interroger sur la manière dont les faits ont été</w:t>
      </w:r>
    </w:p>
    <w:p>
      <w:r>
        <w:t>retenus par le tribunal de première instance. Plusieurs indices donnent en</w:t>
      </w:r>
    </w:p>
    <w:p>
      <w:r>
        <w:t>effet à penser qu'ils ne se sont pas déroulés de la manière à certains</w:t>
      </w:r>
    </w:p>
    <w:p>
      <w:r>
        <w:t>égards anodine dont ils ont été relatés dans le jugement. Ainsi s'ils ne</w:t>
      </w:r>
    </w:p>
    <w:p>
      <w:r>
        <w:t>peuvent évidemment pas être constitutifs d'injures à l'égard d'un animal,</w:t>
      </w:r>
    </w:p>
    <w:p>
      <w:r>
        <w:t>les propos prononcés par la prévenue sont toutefois significatifs de</w:t>
      </w:r>
    </w:p>
    <w:p>
      <w:r>
        <w:t>l'état d'énervement et de perte de contrôle d'elle-même dans lequel elle</w:t>
      </w:r>
    </w:p>
    <w:p>
      <w:r>
        <w:t>se trouvait. La répétition des faits est également significative, comme</w:t>
      </w:r>
    </w:p>
    <w:p>
      <w:r>
        <w:t>leur durée. Il n'empêche. Du moment que dans son pourvoi le ministère</w:t>
      </w:r>
    </w:p>
    <w:p>
      <w:r>
        <w:t>public ne fait pas grief au premier juge d'avoir fait preuve d'arbitraire</w:t>
      </w:r>
    </w:p>
    <w:p>
      <w:r>
        <w:t>s'agissant des faits, cette question ne sera pas revue.</w:t>
      </w:r>
    </w:p>
    <w:p>
      <w:r>
        <w:t>3.      a) Celui qui, intentionnellement, aura maltraité un animal,</w:t>
      </w:r>
    </w:p>
    <w:p>
      <w:r>
        <w:t>l'aura gravement négligé ou surmené inutilement, sera puni de l'emprison-</w:t>
      </w:r>
    </w:p>
    <w:p>
      <w:r>
        <w:t>nement ou de l'amende (art.27 al.1 litt.a LPA). Cette disposition corres-</w:t>
      </w:r>
    </w:p>
    <w:p>
      <w:r>
        <w:t>pond à l'article 264 ch.1 al.1 aCP. Les principes développés par la juris-</w:t>
      </w:r>
    </w:p>
    <w:p>
      <w:r>
        <w:t>prudence et la doctrine à propos de l'article 264 aCP gardent ainsi leur</w:t>
      </w:r>
    </w:p>
    <w:p>
      <w:r>
        <w:t>actualité (Marty Hamburger, Tendenzen bei der Beurteilung von</w:t>
      </w:r>
    </w:p>
    <w:p>
      <w:r>
        <w:t>Tierschutzstrafsachen, in "Recht und Tierschutz", p.245). Maltraiter</w:t>
      </w:r>
    </w:p>
    <w:p>
      <w:r>
        <w:t>signifie faire souffrir sans nécessité. Il n'est certes pas interdit</w:t>
      </w:r>
    </w:p>
    <w:p>
      <w:r>
        <w:t>d'user, s'il le faut, de moyens énergiques pour éduquer un animal, le</w:t>
      </w:r>
    </w:p>
    <w:p>
      <w:r>
        <w:t>corriger ou le punir. Mais l'excès est punissable. Il n'est pas nécessaire</w:t>
      </w:r>
    </w:p>
    <w:p>
      <w:r>
        <w:t>que le comportement de l'auteur soit particulièrement brutal ou cruel. Le</w:t>
      </w:r>
    </w:p>
    <w:p>
      <w:r>
        <w:t>critère fondamental est l'utilité ou l'inutilité, la nécessité ou</w:t>
      </w:r>
    </w:p>
    <w:p>
      <w:r>
        <w:t>l'absence de nécessité de l'acte accompli (SJ 1982, p.300; ATF 85 IV 24;</w:t>
      </w:r>
    </w:p>
    <w:p>
      <w:r>
        <w:t>Stratenwerth, Schweizerisches Strafrecht, Besonderer Teil II, 2ème éd.</w:t>
      </w:r>
    </w:p>
    <w:p>
      <w:r>
        <w:t>1978, p.216-217; Antoine Goetschel, Droit de la protection des animaux,</w:t>
      </w:r>
    </w:p>
    <w:p>
      <w:r>
        <w:t>FJS 304, p.17). Le fait que l'animal ait été blessé ou non n'est pas</w:t>
      </w:r>
    </w:p>
    <w:p>
      <w:r>
        <w:t>déterminant (cf. ATF 86 IV 26).</w:t>
      </w:r>
    </w:p>
    <w:p>
      <w:r>
        <w:t>b) En l'espèce, le premier juge a estimé que les gestes des pré-</w:t>
      </w:r>
    </w:p>
    <w:p>
      <w:r>
        <w:t>venus étaient assimilables à des voies de fait et dès lors conformes à</w:t>
      </w:r>
    </w:p>
    <w:p>
      <w:r>
        <w:t>l'article 27 LPA. Le critère choisi était erroné. La question qui doit</w:t>
      </w:r>
    </w:p>
    <w:p>
      <w:r>
        <w:t>être examinée est celle de savoir si les actes visés étaient nécessaires</w:t>
      </w:r>
    </w:p>
    <w:p>
      <w:r>
        <w:t>ou utiles à l'éducation du chien. Il ressort du jugement que les coups ont</w:t>
      </w:r>
    </w:p>
    <w:p>
      <w:r>
        <w:t>été administrés au chien parce que celui-ci avait fait ses besoins dans</w:t>
      </w:r>
    </w:p>
    <w:p>
      <w:r>
        <w:t>l'appartement et sur le balcon. En principe, les prévenus étaient ainsi</w:t>
      </w:r>
    </w:p>
    <w:p>
      <w:r>
        <w:t>fondés à donner une certaine correction à leur animal. Il faut toutefois</w:t>
      </w:r>
    </w:p>
    <w:p>
      <w:r>
        <w:t>considérer que les coups administrés au chien dépassaient de manière</w:t>
      </w:r>
    </w:p>
    <w:p>
      <w:r>
        <w:t>évidente une correction admissible n'étant ainsi ni nécessaires, ni</w:t>
      </w:r>
    </w:p>
    <w:p>
      <w:r>
        <w:t>utiles. En effet, au moment des faits, le chien avait six mois. Des coups</w:t>
      </w:r>
    </w:p>
    <w:p>
      <w:r>
        <w:t>de pied, dont la force est difficilement pondérable, donnés dans ces</w:t>
      </w:r>
    </w:p>
    <w:p>
      <w:r>
        <w:t>circonstances sont des corrections disproportionnées et superflues. Il</w:t>
      </w:r>
    </w:p>
    <w:p>
      <w:r>
        <w:t>ressort en particulier du dossier que les coups ont été administrés</w:t>
      </w:r>
    </w:p>
    <w:p>
      <w:r>
        <w:t>pendant un grand moment. Certes, le premier juge n'a pas retenu que les</w:t>
      </w:r>
    </w:p>
    <w:p>
      <w:r>
        <w:t>corrections avaient duré quelque quarante-cinq minutes, comme l'avaient</w:t>
      </w:r>
    </w:p>
    <w:p>
      <w:r>
        <w:t>allégué certains témoins. Les coups ont cependant été administrés</w:t>
      </w:r>
    </w:p>
    <w:p>
      <w:r>
        <w:t>suffisamment longtemps pour permettre à une des voisines de téléphoner à</w:t>
      </w:r>
    </w:p>
    <w:p>
      <w:r>
        <w:t>un agent de police, qui, arrivé sur les lieux, a pu constater que J.</w:t>
      </w:r>
    </w:p>
    <w:p>
      <w:r>
        <w:t>administrait encore ou à nouveau des coups (D.31). Les corrections étaient</w:t>
      </w:r>
    </w:p>
    <w:p>
      <w:r>
        <w:t>ainsi non seulement excessives quant à leur intensité mais également quant</w:t>
      </w:r>
    </w:p>
    <w:p>
      <w:r>
        <w:t>à leur durée. Partant, les coups infligés par J. à son chiot sont</w:t>
      </w:r>
    </w:p>
    <w:p>
      <w:r>
        <w:t>constitutifs d'un mauvais traitement au sens de l'article 27 al.1 litt.a</w:t>
      </w:r>
    </w:p>
    <w:p>
      <w:r>
        <w:t>LPA. Dans la mesure où le jugement entrepris libère J.  de la prévention à</w:t>
      </w:r>
    </w:p>
    <w:p>
      <w:r>
        <w:t>l'article 27 LPA, il doit être cassé. En revanche, le Tribunal de police</w:t>
      </w:r>
    </w:p>
    <w:p>
      <w:r>
        <w:t>n'a retenu en fait aucun comportement susceptible d'être considéré comme</w:t>
      </w:r>
    </w:p>
    <w:p>
      <w:r>
        <w:t>punissable sous l'angle de l'article 27 LPA à l'encontre de D. . Dans la</w:t>
      </w:r>
    </w:p>
    <w:p>
      <w:r>
        <w:t>mesure où le pourvoi conclut à la condamnation de D. pour avoir violé les</w:t>
      </w:r>
    </w:p>
    <w:p>
      <w:r>
        <w:t>articles 22 et 27 LPA, il est mal fondé.</w:t>
      </w:r>
    </w:p>
    <w:p>
      <w:r>
        <w:t>3.      La Cour peut statuer elle-même (art.252 al.2 litt.b CPP). La</w:t>
      </w:r>
    </w:p>
    <w:p>
      <w:r>
        <w:t>correction administrée était certes excessive et partant inadmissible.</w:t>
      </w:r>
    </w:p>
    <w:p>
      <w:r>
        <w:t>Elle ne saurait toutefois être considérée comme un traitement particuliè-</w:t>
      </w:r>
    </w:p>
    <w:p>
      <w:r>
        <w:t>rement brutal. Au vu de la situation économique de J. et de l'ensemble</w:t>
      </w:r>
    </w:p>
    <w:p>
      <w:r>
        <w:t>des circonstances, il se justifie de condamner celle-ci à une amende de</w:t>
      </w:r>
    </w:p>
    <w:p>
      <w:r>
        <w:t>400 francs, qui tient également compte des infractions retenues par le</w:t>
      </w:r>
    </w:p>
    <w:p>
      <w:r>
        <w:t>premier juge. Le cas étant de peu de gravité au sens de l'article 41 ch.3</w:t>
      </w:r>
    </w:p>
    <w:p>
      <w:r>
        <w:t>al.2 CP, il sera renoncé à la révocation du sursis accordé le 6 décembre</w:t>
      </w:r>
    </w:p>
    <w:p>
      <w:r>
        <w:t>1996 par le ministère public à J. .</w:t>
      </w:r>
    </w:p>
    <w:p>
      <w:r>
        <w:t>Par ailleurs, il y a lieu de modifier la répartition des frais</w:t>
      </w:r>
    </w:p>
    <w:p>
      <w:r>
        <w:t>de première instance. Vu leur condamnation respective J.  et D.</w:t>
      </w:r>
    </w:p>
    <w:p>
      <w:r>
        <w:t>supporteront chacun la moitié de ces frais.</w:t>
      </w:r>
    </w:p>
    <w:p>
      <w:r>
        <w:t>Par ces motifs,</w:t>
      </w:r>
    </w:p>
    <w:p>
      <w:r>
        <w:t>LA COUR DE CASSATION PENALE</w:t>
      </w:r>
    </w:p>
    <w:p>
      <w:r>
        <w:t>1. Casse les chiffres 1 et 3 du jugement entrepris.</w:t>
      </w:r>
    </w:p>
    <w:p>
      <w:r>
        <w:t>Statuant au fond :</w:t>
      </w:r>
    </w:p>
    <w:p>
      <w:r>
        <w:t>2. Condamne D.  à sept jours d'arrêts, avec sursis pendant un an, à 50</w:t>
      </w:r>
    </w:p>
    <w:p>
      <w:r>
        <w:t>francs d'amende et au paiement de sa part des frais de première</w:t>
      </w:r>
    </w:p>
    <w:p>
      <w:r>
        <w:t>instance, arrêtée à 190 francs.</w:t>
      </w:r>
    </w:p>
    <w:p>
      <w:r>
        <w:t>3. Condamne J.  à 400 francs d'amende et au paiement de sa part des frais</w:t>
      </w:r>
    </w:p>
    <w:p>
      <w:r>
        <w:t>de première instance, arrêtée à 190 francs.</w:t>
      </w:r>
    </w:p>
    <w:p>
      <w:r>
        <w:t>4. Renonce à révoquer le sursis accordé à J. le 6 décembre 1996 par le</w:t>
      </w:r>
    </w:p>
    <w:p>
      <w:r>
        <w:t>ministère public de Neuchâtel.</w:t>
      </w:r>
    </w:p>
    <w:p>
      <w:r>
        <w:t>5. Confirme le jugement entrepris pour le surplus.</w:t>
      </w:r>
    </w:p>
    <w:p>
      <w:r>
        <w:t>6. Laisse les frais de deuxième instance à la charge de l'Etat.</w:t>
      </w:r>
    </w:p>
    <w:p>
      <w:r>
        <w:t>Neuchâtel, le 20 juillet 1998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