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CCP.1998.6583 vom 18. März 1998</w:t>
      </w:r>
    </w:p>
    <w:p>
      <w:r>
        <w:t>NE Tribunal cantonal, 1998-03-18, FR</w:t>
      </w:r>
    </w:p>
    <w:p>
      <w:r>
        <w:rPr>
          <w:b/>
        </w:rPr>
        <w:t xml:space="preserve">Quelle: </w:t>
      </w:r>
      <w:r>
        <w:t>https://mcp.opencaselaw.ch/entscheid/ne_gerichte_CCP.1998.6583</w:t>
      </w:r>
    </w:p>
    <w:p>
      <w:r>
        <w:t>FR: NE_GERICHTE CCP.1998.6583 du 18 mars 1998</w:t>
      </w:r>
    </w:p>
    <w:p>
      <w:r>
        <w:t>IT: NE_GERICHTE CCP.1998.6583 del 18 marzo 1998</w:t>
      </w:r>
    </w:p>
    <w:p>
      <w:pPr>
        <w:pStyle w:val="Heading2"/>
      </w:pPr>
      <w:r>
        <w:t>Volltext</w:t>
      </w:r>
    </w:p>
    <w:p>
      <w:r>
        <w:t>A.      Dès 1993, C. , professeur-libraire, a entretenu des relations</w:t>
      </w:r>
    </w:p>
    <w:p>
      <w:r>
        <w:t>d'affaires épisodiques avec G. , commissaire-priseur, pour lequel il</w:t>
      </w:r>
    </w:p>
    <w:p>
      <w:r>
        <w:t>effectuait des expertises. Il avait ainsi accès à sa galerie d'art à</w:t>
      </w:r>
    </w:p>
    <w:p>
      <w:r>
        <w:t>X.  (plus particulièrement à sa collection d'ouvrages de références sur la</w:t>
      </w:r>
    </w:p>
    <w:p>
      <w:r>
        <w:t>bibliographie et de documentation d'art) et il s'y rendait une à plusieurs</w:t>
      </w:r>
    </w:p>
    <w:p>
      <w:r>
        <w:t>fois par semaine.</w:t>
      </w:r>
    </w:p>
    <w:p>
      <w:r>
        <w:t>Au courant de l'hiver 1994-1995, C. a entreposé un lot de</w:t>
      </w:r>
    </w:p>
    <w:p>
      <w:r>
        <w:t>livres dans la galerie de G. . Trois de ces livres ont disparu. Il a</w:t>
      </w:r>
    </w:p>
    <w:p>
      <w:r>
        <w:t>également confié à G. , pour qu'il le vende, un manuscrit du 18e siècle</w:t>
      </w:r>
    </w:p>
    <w:p>
      <w:r>
        <w:t>(une traduction effectuée par l'horloger Berthoud du " Traité des</w:t>
      </w:r>
    </w:p>
    <w:p>
      <w:r>
        <w:t>horloges" de Huyghens). Cet ouvrage a aussi disparu, G. prétendant se</w:t>
      </w:r>
    </w:p>
    <w:p>
      <w:r>
        <w:t>l'être fait voler,</w:t>
      </w:r>
    </w:p>
    <w:p>
      <w:r>
        <w:t>C.  estimant que G.  se l'était approprié ou l'avait vendu pour son propre</w:t>
      </w:r>
    </w:p>
    <w:p>
      <w:r>
        <w:t>compte.</w:t>
      </w:r>
    </w:p>
    <w:p>
      <w:r>
        <w:t>Comme G.  ne voulait pas répondre de ces disparitions, C.  a</w:t>
      </w:r>
    </w:p>
    <w:p>
      <w:r>
        <w:t>décidé de prendre des livres de référence dans sa galerie pour couvrir la</w:t>
      </w:r>
    </w:p>
    <w:p>
      <w:r>
        <w:t>perte qu'il avait subie et faire pression sur lui. Il a ainsi emporté chez</w:t>
      </w:r>
    </w:p>
    <w:p>
      <w:r>
        <w:t>lui une centaine de livres, dont la valeur (prix de vente maximum) a</w:t>
      </w:r>
    </w:p>
    <w:p>
      <w:r>
        <w:t>finalement été fixée, d'un commun accord entre les parties, à 14'500</w:t>
      </w:r>
    </w:p>
    <w:p>
      <w:r>
        <w:t>francs.</w:t>
      </w:r>
    </w:p>
    <w:p>
      <w:r>
        <w:t>B.      G.  a porté plainte pénale contre C.  en date du 19 septembre</w:t>
      </w:r>
    </w:p>
    <w:p>
      <w:r>
        <w:t>1995. Par jugement du 9 décembre 1997, le Tribunal de police du district</w:t>
      </w:r>
    </w:p>
    <w:p>
      <w:r>
        <w:t>de Boudry a condamné C.  à une peine de 15 jours d'emprisonnement avec</w:t>
      </w:r>
    </w:p>
    <w:p>
      <w:r>
        <w:t>sursis pendant deux ans pour soustraction de choses mobilières au sens de</w:t>
      </w:r>
    </w:p>
    <w:p>
      <w:r>
        <w:t>l'article 141 CP.</w:t>
      </w:r>
    </w:p>
    <w:p>
      <w:r>
        <w:t>C.      Le 19 décembre 1997, C.  s'est pourvu en cassation contre ce</w:t>
      </w:r>
    </w:p>
    <w:p>
      <w:r>
        <w:t>jugement, en concluant principalement à son acquittement et</w:t>
      </w:r>
    </w:p>
    <w:p>
      <w:r>
        <w:t>subsidiairement au  renvoi de la cause pour nouveau jugement. Il invoque</w:t>
      </w:r>
    </w:p>
    <w:p>
      <w:r>
        <w:t>une fausse application de la loi au sens de l'article 242 CPP, dans la</w:t>
      </w:r>
    </w:p>
    <w:p>
      <w:r>
        <w:t>mesure où le premier juge a retenu à tort l'article 141 CP. Le recourant</w:t>
      </w:r>
    </w:p>
    <w:p>
      <w:r>
        <w:t>conteste avoir emporté les ouvrages contre la volonté du plaignant et il</w:t>
      </w:r>
    </w:p>
    <w:p>
      <w:r>
        <w:t>estime que les conditions de l'intention et du préjudice ne sont pas rem-</w:t>
      </w:r>
    </w:p>
    <w:p>
      <w:r>
        <w:t>plies.</w:t>
      </w:r>
    </w:p>
    <w:p>
      <w:r>
        <w:t>D.      Le Président du Tribunal de police conclut au rejet du recours</w:t>
      </w:r>
    </w:p>
    <w:p>
      <w:r>
        <w:t>sans formuler d'observations. Le Ministère public ainsi que le plaignant</w:t>
      </w:r>
    </w:p>
    <w:p>
      <w:r>
        <w:t>concluent également au rejet du pourvoi, tout en formulant des observa-</w:t>
      </w:r>
    </w:p>
    <w:p>
      <w:r>
        <w:t>tions.</w:t>
      </w:r>
    </w:p>
    <w:p>
      <w:r>
        <w:t>C O N S I D E R A N T</w:t>
      </w:r>
    </w:p>
    <w:p>
      <w:r>
        <w:t>e n d r o i t</w:t>
      </w:r>
    </w:p>
    <w:p>
      <w:r>
        <w:t>1.      Interjeté dans les formes et délai légaux (article 244 CPP), le</w:t>
      </w:r>
    </w:p>
    <w:p>
      <w:r>
        <w:t>pourvoi est recevable.</w:t>
      </w:r>
    </w:p>
    <w:p>
      <w:r>
        <w:t>2.      a) Aux termes de l'article 141 CP, celui qui, sans dessein d'ap-</w:t>
      </w:r>
    </w:p>
    <w:p>
      <w:r>
        <w:t>propriation, aura soustrait une chose mobilière à l'ayant droit et lui</w:t>
      </w:r>
    </w:p>
    <w:p>
      <w:r>
        <w:t>aura causé par là un préjudice considérable sera, sur plainte, puni de</w:t>
      </w:r>
    </w:p>
    <w:p>
      <w:r>
        <w:t>l'emprisonnement ou de l'amende. Les éléments constitutifs objectifs de</w:t>
      </w:r>
    </w:p>
    <w:p>
      <w:r>
        <w:t>l'infraction sont, d'une part, la soustraction d'une chose mobilière à</w:t>
      </w:r>
    </w:p>
    <w:p>
      <w:r>
        <w:t>l'ayant droit et, d'autre part, le préjudice considérable. L'élément cons-</w:t>
      </w:r>
    </w:p>
    <w:p>
      <w:r>
        <w:t>titutif subjectif, soit l'intention, doit porter sur tous les éléments</w:t>
      </w:r>
    </w:p>
    <w:p>
      <w:r>
        <w:t>objectifs de l'infraction (Stratenwerth, Schweizerisches Strafrecht,</w:t>
      </w:r>
    </w:p>
    <w:p>
      <w:r>
        <w:t>Besonderer Teil I, Berne 1995, p.292 ss; Rehberg/Schmid, Strafrecht III,</w:t>
      </w:r>
    </w:p>
    <w:p>
      <w:r>
        <w:t>6e éd., Zürich 1994, p. 128 ss.)</w:t>
      </w:r>
    </w:p>
    <w:p>
      <w:r>
        <w:t>La notion de "préjudice considérable", qui a remplacé celle de</w:t>
      </w:r>
    </w:p>
    <w:p>
      <w:r>
        <w:t>"dommage" lors de la révision du code pénal entrée en vigueur le 1er</w:t>
      </w:r>
    </w:p>
    <w:p>
      <w:r>
        <w:t>janvier 1995, poursuit deux buts. D'un côté, elle permet d'écarter les</w:t>
      </w:r>
    </w:p>
    <w:p>
      <w:r>
        <w:t>atteintes minimes. De l'autre côté, elle ne limite plus son champ</w:t>
      </w:r>
    </w:p>
    <w:p>
      <w:r>
        <w:t>d'application aux seuls dommages patrimoniaux, mais englobe aussi des</w:t>
      </w:r>
    </w:p>
    <w:p>
      <w:r>
        <w:t>atteintes immatérielles. Elle recouvre donc aussi des conséquences</w:t>
      </w:r>
    </w:p>
    <w:p>
      <w:r>
        <w:t>négatives qui ne se traduisent pas - ou pas sans autre - en termes</w:t>
      </w:r>
    </w:p>
    <w:p>
      <w:r>
        <w:t>financiers. Tel sera par exemple le cas pour la soustraction d'une robe de</w:t>
      </w:r>
    </w:p>
    <w:p>
      <w:r>
        <w:t>mariée le jour des noces ou la soustraction du discours d'un orateur ou du</w:t>
      </w:r>
    </w:p>
    <w:p>
      <w:r>
        <w:t>violon du soliste juste avant leur apparition en public (FF 1991 II p.974</w:t>
      </w:r>
    </w:p>
    <w:p>
      <w:r>
        <w:t>et Stratenwerth, p.294) ou encore pour la soustraction d'un tableau</w:t>
      </w:r>
    </w:p>
    <w:p>
      <w:r>
        <w:t>accroché dans l'appartement de l'ayant-droit (Rehberg/Schmid, p.133).</w:t>
      </w:r>
    </w:p>
    <w:p>
      <w:r>
        <w:t>Selon la doctrine et la jurisprudence, l'intention doit aussi</w:t>
      </w:r>
    </w:p>
    <w:p>
      <w:r>
        <w:t>porter sur la création d'un dommage (ATF 105 IV 37). En d'autres termes,</w:t>
      </w:r>
    </w:p>
    <w:p>
      <w:r>
        <w:t>l'auteur doit avoir eu la conscience et la volonté (art.18 CP) de causer</w:t>
      </w:r>
    </w:p>
    <w:p>
      <w:r>
        <w:t>un préjudice, ou au moins, dans l'hypothèse du dol éventuel, avoir envi-</w:t>
      </w:r>
    </w:p>
    <w:p>
      <w:r>
        <w:t>sagé ce résultat comme possible et l'avoir accepté pour le cas où il se</w:t>
      </w:r>
    </w:p>
    <w:p>
      <w:r>
        <w:t>produirait. L'intention d'agir doit être distinguée du motif particulier</w:t>
      </w:r>
    </w:p>
    <w:p>
      <w:r>
        <w:t>de l'action, ou mobile (RJN 1994 p.109).</w:t>
      </w:r>
    </w:p>
    <w:p>
      <w:r>
        <w:t>b) Contrairement à ce que soutient le recourant, les éléments</w:t>
      </w:r>
    </w:p>
    <w:p>
      <w:r>
        <w:t>constitutifs du préjudice et de l'intention sont en l'espèce réalisés.</w:t>
      </w:r>
    </w:p>
    <w:p>
      <w:r>
        <w:t>C.  a soustrait une centaine de livres de référence,</w:t>
      </w:r>
    </w:p>
    <w:p>
      <w:r>
        <w:t>représentant une valeur arrêtée à 14'500 francs, soit un montant d'une</w:t>
      </w:r>
    </w:p>
    <w:p>
      <w:r>
        <w:t>importance certaine. Le préjudice, pour G. , consiste dans le fait d'avoir</w:t>
      </w:r>
    </w:p>
    <w:p>
      <w:r>
        <w:t>été privé d'une partie de sa collection et d'avoir dû entreprendre des</w:t>
      </w:r>
    </w:p>
    <w:p>
      <w:r>
        <w:t>démarches pour la récupérer. Le fait qu'il ait pu retrouver, en cours</w:t>
      </w:r>
    </w:p>
    <w:p>
      <w:r>
        <w:t>d'instruction pénale, ses ouvrages intacts n'y change rien.</w:t>
      </w:r>
    </w:p>
    <w:p>
      <w:r>
        <w:t>Le recourant confond les notions de mobile et d'intention</w:t>
      </w:r>
    </w:p>
    <w:p>
      <w:r>
        <w:t>lorsqu'il prétend avoir simplement voulu faire pression sur G.  et non pas</w:t>
      </w:r>
    </w:p>
    <w:p>
      <w:r>
        <w:t>lui causer un préjudice. En s'appropriant des ouvrages de référence, C.</w:t>
      </w:r>
    </w:p>
    <w:p>
      <w:r>
        <w:t>avait pour but de priver G.  d'une partie de ses outils de travail et</w:t>
      </w:r>
    </w:p>
    <w:p>
      <w:r>
        <w:t>l'amener ainsi à revoir sa position concernant une éventuelle</w:t>
      </w:r>
    </w:p>
    <w:p>
      <w:r>
        <w:t>indemnisation pour les livres qui avaient disparu dans la galerie d'art.</w:t>
      </w:r>
    </w:p>
    <w:p>
      <w:r>
        <w:t>L'intention portait donc bel et bien sur le préjudice également, comme le</w:t>
      </w:r>
    </w:p>
    <w:p>
      <w:r>
        <w:t>premier juge l'a correctement retenu.</w:t>
      </w:r>
    </w:p>
    <w:p>
      <w:r>
        <w:t>3.      a) C.  soutient que G.  savait qu'il avait emporté un certain</w:t>
      </w:r>
    </w:p>
    <w:p>
      <w:r>
        <w:t>nombre d'ouvrages au titre de dédommagement et qu'il n'était pas opposé à</w:t>
      </w:r>
    </w:p>
    <w:p>
      <w:r>
        <w:t>ce mode de faire accepté tacitement.</w:t>
      </w:r>
    </w:p>
    <w:p>
      <w:r>
        <w:t>b) La Cour est liée par les constatations de fait du premier</w:t>
      </w:r>
    </w:p>
    <w:p>
      <w:r>
        <w:t>juge; elle ne peut rectifier que celles qui sont manifestement erronées</w:t>
      </w:r>
    </w:p>
    <w:p>
      <w:r>
        <w:t>(art. 251 al.2 CPP). Dans une jurisprudence constante, la Cour a jugé</w:t>
      </w:r>
    </w:p>
    <w:p>
      <w:r>
        <w:t>qu'était manifestement erronée une constatation de fait contraire à une</w:t>
      </w:r>
    </w:p>
    <w:p>
      <w:r>
        <w:t>pièce probante du dossier ou à la notoriété publique (RJN 7 II 3, 5 II</w:t>
      </w:r>
    </w:p>
    <w:p>
      <w:r>
        <w:t>12). On ne peut parler d'arbitraire que si la juridiction inférieure a</w:t>
      </w:r>
    </w:p>
    <w:p>
      <w:r>
        <w:t>admis ou nié un fait en se mettant en contradiction évidente avec le dos-</w:t>
      </w:r>
    </w:p>
    <w:p>
      <w:r>
        <w:t>sier (ATF 118 Ia 30, cons.1b), ou si elle a abusé de son pouvoir d'appré-</w:t>
      </w:r>
    </w:p>
    <w:p>
      <w:r>
        <w:t>ciation, en particulier si elle a méconnu des preuves pertinentes ou</w:t>
      </w:r>
    </w:p>
    <w:p>
      <w:r>
        <w:t>qu'elle n'en a arbitrairement pas tenu compte (ATF 100 Ia 127), lorsque</w:t>
      </w:r>
    </w:p>
    <w:p>
      <w:r>
        <w:t>les constatations sont manifestement contraires à la situation de faits,</w:t>
      </w:r>
    </w:p>
    <w:p>
      <w:r>
        <w:t>reposent sur une inadvertance manifeste, ou heurtent gravement le senti-</w:t>
      </w:r>
    </w:p>
    <w:p>
      <w:r>
        <w:t>ment de la justice, enfin, lorsque l'appréciation des preuves est tout à</w:t>
      </w:r>
    </w:p>
    <w:p>
      <w:r>
        <w:t>fait insoutenable (ATF 118 II 30, cons.1b et les autres arrêts cités). La</w:t>
      </w:r>
    </w:p>
    <w:p>
      <w:r>
        <w:t>Cour de céans n'étant donc pas une cour d'appel, la critique du recourant</w:t>
      </w:r>
    </w:p>
    <w:p>
      <w:r>
        <w:t>ne peut être examinée que sous l'angle décrit ci-dessus.</w:t>
      </w:r>
    </w:p>
    <w:p>
      <w:r>
        <w:t>c) En l'espèce, les éléments retenus par le premier juge ne re-</w:t>
      </w:r>
    </w:p>
    <w:p>
      <w:r>
        <w:t>lèvent en aucun cas de l'arbitraire. Rien ne permet de déduire du dossier</w:t>
      </w:r>
    </w:p>
    <w:p>
      <w:r>
        <w:t>que G.  était au courant des appropriations de C. . On voit d'ailleurs mal</w:t>
      </w:r>
    </w:p>
    <w:p>
      <w:r>
        <w:t>comment il aurait pu approuver une telle démarche et laisser son collègue</w:t>
      </w:r>
    </w:p>
    <w:p>
      <w:r>
        <w:t>poursuivre. Une telle version des faits est par ailleurs en contradiction</w:t>
      </w:r>
    </w:p>
    <w:p>
      <w:r>
        <w:t>avec les premières déclarations de C.  à la police; il a alors nié avoir</w:t>
      </w:r>
    </w:p>
    <w:p>
      <w:r>
        <w:t>un quelconque rôle dans la disparition des ouvrages (D.28-30). Il a adopté</w:t>
      </w:r>
    </w:p>
    <w:p>
      <w:r>
        <w:t>la même attitude lors d'un contact téléphonique avec G.  (D.32).</w:t>
      </w:r>
    </w:p>
    <w:p>
      <w:r>
        <w:t>4. Le pourvoi est donc mal fondé et doit être rejeté. Les frais de la</w:t>
      </w:r>
    </w:p>
    <w:p>
      <w:r>
        <w:t>cause sont mis à la charge du recourant, qui succombe.</w:t>
      </w:r>
    </w:p>
    <w:p>
      <w:r>
        <w:t>Par ces motifs,</w:t>
      </w:r>
    </w:p>
    <w:p>
      <w:r>
        <w:t>LA COUR DE CASSATION PENALE</w:t>
      </w:r>
    </w:p>
    <w:p>
      <w:r>
        <w:t>1. Rejette le recours.</w:t>
      </w:r>
    </w:p>
    <w:p>
      <w:r>
        <w:t>2. Condamne le recourant aux frais de la cause, arrêtés à 440 francs.</w:t>
      </w:r>
    </w:p>
    <w:p>
      <w:r>
        <w:t>Neuchâtel, le 18 mars 1998</w:t>
      </w:r>
    </w:p>
    <w:p>
      <w:r>
        <w:t>AU NOM DE LA COUR DE CASSATION PENALE</w:t>
      </w:r>
    </w:p>
    <w:p>
      <w:r>
        <w:t>Le greffier                  L'un des conseillers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