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CCP.1996.6399 vom 8. Januar 1997</w:t>
      </w:r>
    </w:p>
    <w:p>
      <w:r>
        <w:t>NE Tribunal cantonal, 1997-01-08, FR</w:t>
      </w:r>
    </w:p>
    <w:p>
      <w:r>
        <w:rPr>
          <w:b/>
        </w:rPr>
        <w:t xml:space="preserve">Quelle: </w:t>
      </w:r>
      <w:r>
        <w:t>https://mcp.opencaselaw.ch/entscheid/ne_gerichte_CCP.1996.6399</w:t>
      </w:r>
    </w:p>
    <w:p>
      <w:r>
        <w:t>FR: NE_GERICHTE CCP.1996.6399 du 8 janvier 1997</w:t>
      </w:r>
    </w:p>
    <w:p>
      <w:r>
        <w:t>IT: NE_GERICHTE CCP.1996.6399 del 8 gennaio 1997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CP.</w:t>
      </w:r>
    </w:p>
    <w:p>
      <w:r>
        <w:t>4.      a) Le juge fixe la peine d'après la culpabilité du délinquant,</w:t>
      </w:r>
    </w:p>
    <w:p>
      <w:r>
        <w:t>en tenant compte des mobiles, des antécédents et de la situation person-</w:t>
      </w:r>
    </w:p>
    <w:p>
      <w:r>
        <w:t>nelle de celui-ci (art.63 CP). Le premier juge jouit en la matière d'un</w:t>
      </w:r>
    </w:p>
    <w:p>
      <w:r>
        <w:t>large pouvoir d'appréciation. La Cour de cassation pénale, comme le</w:t>
      </w:r>
    </w:p>
    <w:p>
      <w:r>
        <w:t>Tribunal fédéral, n'intervient que s'il a outrepassé son pouvoir en</w:t>
      </w:r>
    </w:p>
    <w:p>
      <w:r>
        <w:t>prononçant un jugement manifestement insoutenable parce qu'arbitrairement</w:t>
      </w:r>
    </w:p>
    <w:p>
      <w:r>
        <w:t>sévère ou clément, aboutissant à un résultat gravement choquant, inexpli-</w:t>
      </w:r>
    </w:p>
    <w:p>
      <w:r>
        <w:t>cable, en contradiction avec les motifs ou fondé sur des critères dénués</w:t>
      </w:r>
    </w:p>
    <w:p>
      <w:r>
        <w:t>de pertinence. La Cour doit également annuler un jugement lorsqu'elle</w:t>
      </w:r>
    </w:p>
    <w:p>
      <w:r>
        <w:t>n'est pas en mesure de déterminer si tous les éléments qui doivent être</w:t>
      </w:r>
    </w:p>
    <w:p>
      <w:r>
        <w:t>pris en considération ont été correctement évalués, c'est-à-dire si la</w:t>
      </w:r>
    </w:p>
    <w:p>
      <w:r>
        <w:t>motivation est insuffisante pour permettre de contrôler le respect de</w:t>
      </w:r>
    </w:p>
    <w:p>
      <w:r>
        <w:t>l'article 63 CP (RJN 6 II 127; ATF 116 IV 290-292; ATF 117 IV 112 - JT</w:t>
      </w:r>
    </w:p>
    <w:p>
      <w:r>
        <w:t>1993 IV 99; ATF 118 IV 18 - JT 1994 IV 66; Corboz, La motivation de la</w:t>
      </w:r>
    </w:p>
    <w:p>
      <w:r>
        <w:t>peine, RSJB 1995, p.1 ss). En matière de stupéfiants, la faute est le</w:t>
      </w:r>
    </w:p>
    <w:p>
      <w:r>
        <w:t>critère principal. La nature et la quantité de stupéfiants sont également</w:t>
      </w:r>
    </w:p>
    <w:p>
      <w:r>
        <w:t>des éléments d'appréciation. En revanche, des motifs de prévention géné-</w:t>
      </w:r>
    </w:p>
    <w:p>
      <w:r>
        <w:t>rale ne sauraient justifier une aggravation de la peine (ATF 118 IV 342 -</w:t>
      </w:r>
    </w:p>
    <w:p>
      <w:r>
        <w:t>JT 1994 IV 69-70). De façon générale, le premier juge n'a cependant pas à</w:t>
      </w:r>
    </w:p>
    <w:p>
      <w:r>
        <w:t>indiquer en chiffres ou en pour-cent dans quelle mesure il a tenu compte</w:t>
      </w:r>
    </w:p>
    <w:p>
      <w:r>
        <w:t>de chaque circonstance, aggravante ou atténuante (ATF 118 IV 14 - JT 1993</w:t>
      </w:r>
    </w:p>
    <w:p>
      <w:r>
        <w:t>IV 167).</w:t>
      </w:r>
    </w:p>
    <w:p>
      <w:r>
        <w:t>b) Le recourant estime que son jeune âge, la quantité et la</w:t>
      </w:r>
    </w:p>
    <w:p>
      <w:r>
        <w:t>faible nocivité du produit consommé ainsi que ses excellents résultats sur</w:t>
      </w:r>
    </w:p>
    <w:p>
      <w:r>
        <w:t>le plan de la formation professionnelle font apparaître une peine</w:t>
      </w:r>
    </w:p>
    <w:p>
      <w:r>
        <w:t>privative de liberté comme arbitrairement sévère. Le premier juge avait,</w:t>
      </w:r>
    </w:p>
    <w:p>
      <w:r>
        <w:t>en l'application de l'article 19a ch.1 LFS, le choix entre une peine</w:t>
      </w:r>
    </w:p>
    <w:p>
      <w:r>
        <w:t>d'arrêts ou une peine d'amende. S'il appliquait la première, il devait se</w:t>
      </w:r>
    </w:p>
    <w:p>
      <w:r>
        <w:t>tenir dans le cadre légal prévu par l'article 39 ch.1 al.1 CP qui prévoit</w:t>
      </w:r>
    </w:p>
    <w:p>
      <w:r>
        <w:t>que la durée des arrêts est d'un jour au moins et de trois mois au plus.</w:t>
      </w:r>
    </w:p>
    <w:p>
      <w:r>
        <w:t>Le premier juge à tenu compte, pour fixer la peine, de la condamnation du</w:t>
      </w:r>
    </w:p>
    <w:p>
      <w:r>
        <w:t>27 juillet 1995. Il a relevé que, malgré cette condamnation,</w:t>
      </w:r>
    </w:p>
    <w:p>
      <w:r>
        <w:t>S. a continué à fumer régulièrement de la marijuana. Il ne s'est</w:t>
      </w:r>
    </w:p>
    <w:p>
      <w:r>
        <w:t>pas montré arbitrairement sévère en prononçant une peine d'arrêts et en la</w:t>
      </w:r>
    </w:p>
    <w:p>
      <w:r>
        <w:t>fixant à 10 jours.</w:t>
      </w:r>
    </w:p>
    <w:p>
      <w:r>
        <w:t>5.      Le pourvoi est mal fondé, et même en partie téméraire, de telle</w:t>
      </w:r>
    </w:p>
    <w:p>
      <w:r>
        <w:t>sorte que S. supportera les frais de la procédure de</w:t>
      </w:r>
    </w:p>
    <w:p>
      <w:r>
        <w:t>recours.</w:t>
      </w:r>
    </w:p>
    <w:p>
      <w:r>
        <w:t>6. Comme le recourant plaide au bénéfice de l'assistance judiciaire</w:t>
      </w:r>
    </w:p>
    <w:p>
      <w:r>
        <w:t>totale, il convient de fixer l'indemnité de son mandataire en fonction de</w:t>
      </w:r>
    </w:p>
    <w:p>
      <w:r>
        <w:t>l'importance de la cause et du temps apparemment consacré à la préparation</w:t>
      </w:r>
    </w:p>
    <w:p>
      <w:r>
        <w:t>du pourvoi.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